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3256"/>
        <w:gridCol w:w="2409"/>
        <w:gridCol w:w="3407"/>
      </w:tblGrid>
      <w:tr w:rsidR="009D3E39" w:rsidRPr="00C71A19" w14:paraId="134E32A6" w14:textId="77777777" w:rsidTr="00C55465">
        <w:trPr>
          <w:trHeight w:val="934"/>
        </w:trPr>
        <w:tc>
          <w:tcPr>
            <w:tcW w:w="3256" w:type="dxa"/>
          </w:tcPr>
          <w:p w14:paraId="5372B0A6" w14:textId="77777777" w:rsidR="009D3E39" w:rsidRPr="00C71A19" w:rsidRDefault="009D3E39" w:rsidP="00E77404">
            <w:pPr>
              <w:pStyle w:val="BodyText"/>
              <w:spacing w:before="480" w:after="120"/>
              <w:jc w:val="center"/>
            </w:pPr>
            <w:r w:rsidRPr="00C71A19">
              <w:rPr>
                <w:noProof/>
              </w:rPr>
              <w:drawing>
                <wp:inline distT="0" distB="0" distL="0" distR="0" wp14:anchorId="4ECAB5F8" wp14:editId="51B3CA54">
                  <wp:extent cx="1955800" cy="498410"/>
                  <wp:effectExtent l="0" t="0" r="6350" b="0"/>
                  <wp:docPr id="2" name="Picture 2" descr="\\main.oecd.org\HomeDir4\Tirand_C\Desktop\Admin\OECD_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in.oecd.org\HomeDir4\Tirand_C\Desktop\Admin\OECD_logo_.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5878" cy="521365"/>
                          </a:xfrm>
                          <a:prstGeom prst="rect">
                            <a:avLst/>
                          </a:prstGeom>
                          <a:noFill/>
                          <a:ln>
                            <a:noFill/>
                          </a:ln>
                        </pic:spPr>
                      </pic:pic>
                    </a:graphicData>
                  </a:graphic>
                </wp:inline>
              </w:drawing>
            </w:r>
            <w:r w:rsidR="00C55465" w:rsidRPr="00C71A19">
              <w:t xml:space="preserve">   </w:t>
            </w:r>
          </w:p>
        </w:tc>
        <w:tc>
          <w:tcPr>
            <w:tcW w:w="2409" w:type="dxa"/>
          </w:tcPr>
          <w:p w14:paraId="71EFB29C" w14:textId="77777777" w:rsidR="009D3E39" w:rsidRPr="00C71A19" w:rsidRDefault="009D3E39" w:rsidP="00E77404">
            <w:pPr>
              <w:pStyle w:val="BodyText"/>
              <w:spacing w:before="60" w:after="120"/>
            </w:pPr>
            <w:r w:rsidRPr="00C71A19">
              <w:rPr>
                <w:noProof/>
              </w:rPr>
              <w:drawing>
                <wp:inline distT="0" distB="0" distL="0" distR="0" wp14:anchorId="7965CD2E" wp14:editId="517D67A7">
                  <wp:extent cx="1447351" cy="940154"/>
                  <wp:effectExtent l="0" t="0" r="635" b="0"/>
                  <wp:docPr id="5" name="Picture 5" descr="C:\Users\Tirand_C\AppData\Local\Microsoft\Windows\INetCache\Content.Word\marca_01_fundo_bran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irand_C\AppData\Local\Microsoft\Windows\INetCache\Content.Word\marca_01_fundo_branc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351" cy="940154"/>
                          </a:xfrm>
                          <a:prstGeom prst="rect">
                            <a:avLst/>
                          </a:prstGeom>
                          <a:noFill/>
                          <a:ln>
                            <a:noFill/>
                          </a:ln>
                        </pic:spPr>
                      </pic:pic>
                    </a:graphicData>
                  </a:graphic>
                </wp:inline>
              </w:drawing>
            </w:r>
          </w:p>
        </w:tc>
        <w:tc>
          <w:tcPr>
            <w:tcW w:w="3407" w:type="dxa"/>
          </w:tcPr>
          <w:p w14:paraId="13A3F081" w14:textId="77777777" w:rsidR="009D3E39" w:rsidRPr="00C71A19" w:rsidRDefault="009D3E39" w:rsidP="00E77404">
            <w:pPr>
              <w:pStyle w:val="BodyText"/>
              <w:spacing w:before="360" w:after="120"/>
              <w:jc w:val="right"/>
            </w:pPr>
            <w:r w:rsidRPr="00C71A19">
              <w:rPr>
                <w:noProof/>
              </w:rPr>
              <w:drawing>
                <wp:inline distT="0" distB="0" distL="0" distR="0" wp14:anchorId="52FE5AF1" wp14:editId="02F3B143">
                  <wp:extent cx="1913467" cy="557423"/>
                  <wp:effectExtent l="0" t="0" r="0" b="0"/>
                  <wp:docPr id="4" name="Picture 4" descr="C:\Users\Tirand_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irand_C\AppData\Local\Microsoft\Windows\INetCache\Content.Word\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5173" cy="575399"/>
                          </a:xfrm>
                          <a:prstGeom prst="rect">
                            <a:avLst/>
                          </a:prstGeom>
                          <a:noFill/>
                          <a:ln>
                            <a:noFill/>
                          </a:ln>
                        </pic:spPr>
                      </pic:pic>
                    </a:graphicData>
                  </a:graphic>
                </wp:inline>
              </w:drawing>
            </w:r>
          </w:p>
        </w:tc>
      </w:tr>
      <w:tr w:rsidR="009D3E39" w:rsidRPr="00CD2B2C" w14:paraId="3CD8947E" w14:textId="77777777" w:rsidTr="005862DD">
        <w:trPr>
          <w:trHeight w:val="57"/>
        </w:trPr>
        <w:tc>
          <w:tcPr>
            <w:tcW w:w="9072" w:type="dxa"/>
            <w:gridSpan w:val="3"/>
          </w:tcPr>
          <w:p w14:paraId="39F9BD1B" w14:textId="77777777" w:rsidR="009D3E39" w:rsidRPr="00CD2B2C" w:rsidRDefault="009D3E39" w:rsidP="00E77404">
            <w:pPr>
              <w:pStyle w:val="BodyText"/>
              <w:spacing w:after="120"/>
              <w:rPr>
                <w:rFonts w:ascii="Arial" w:hAnsi="Arial" w:cs="Arial"/>
              </w:rPr>
            </w:pPr>
          </w:p>
        </w:tc>
      </w:tr>
    </w:tbl>
    <w:p w14:paraId="3F628BF8" w14:textId="68BCC29F" w:rsidR="003F2FEE" w:rsidRPr="00F072BB" w:rsidRDefault="00A87460" w:rsidP="00E77404">
      <w:pPr>
        <w:pStyle w:val="BodyText"/>
        <w:spacing w:after="120"/>
        <w:jc w:val="center"/>
        <w:rPr>
          <w:rFonts w:ascii="Arial" w:hAnsi="Arial" w:cs="Arial"/>
          <w:b/>
          <w:kern w:val="24"/>
          <w:sz w:val="24"/>
          <w:szCs w:val="24"/>
          <w:lang w:val="pt-BR"/>
        </w:rPr>
      </w:pPr>
      <w:bookmarkStart w:id="0" w:name="_GoBack"/>
      <w:r w:rsidRPr="00F072BB">
        <w:rPr>
          <w:rFonts w:ascii="Arial" w:hAnsi="Arial" w:cs="Arial"/>
          <w:b/>
          <w:kern w:val="24"/>
          <w:sz w:val="24"/>
          <w:szCs w:val="24"/>
          <w:lang w:val="pt-BR"/>
        </w:rPr>
        <w:t xml:space="preserve">CONVITE PARA CONTRIBUIÇÃO EM QUESTÕES </w:t>
      </w:r>
      <w:r>
        <w:rPr>
          <w:rFonts w:ascii="Arial" w:hAnsi="Arial" w:cs="Arial"/>
          <w:b/>
          <w:kern w:val="24"/>
          <w:sz w:val="24"/>
          <w:szCs w:val="24"/>
          <w:lang w:val="pt-BR"/>
        </w:rPr>
        <w:t xml:space="preserve">DE PREÇOS DE TRANSFERÊNCIA </w:t>
      </w:r>
      <w:r w:rsidRPr="00F072BB">
        <w:rPr>
          <w:rFonts w:ascii="Arial" w:hAnsi="Arial" w:cs="Arial"/>
          <w:b/>
          <w:kern w:val="24"/>
          <w:sz w:val="24"/>
          <w:szCs w:val="24"/>
          <w:lang w:val="pt-BR"/>
        </w:rPr>
        <w:t>RELACIONADAS AO DESENVOLVIMENTO DE S</w:t>
      </w:r>
      <w:r w:rsidRPr="00F072BB">
        <w:rPr>
          <w:rFonts w:ascii="Arial" w:hAnsi="Arial" w:cs="Arial"/>
          <w:b/>
          <w:i/>
          <w:kern w:val="24"/>
          <w:sz w:val="24"/>
          <w:szCs w:val="24"/>
          <w:lang w:val="pt-BR"/>
        </w:rPr>
        <w:t>AFE-HARBOURS</w:t>
      </w:r>
      <w:r w:rsidRPr="00F072BB">
        <w:rPr>
          <w:rFonts w:ascii="Arial" w:hAnsi="Arial" w:cs="Arial"/>
          <w:b/>
          <w:kern w:val="24"/>
          <w:sz w:val="24"/>
          <w:szCs w:val="24"/>
          <w:lang w:val="pt-BR"/>
        </w:rPr>
        <w:t xml:space="preserve"> E OUTRAS CONSIDERAÇÕES DE COMPARABILIDADE</w:t>
      </w:r>
    </w:p>
    <w:bookmarkEnd w:id="0"/>
    <w:p w14:paraId="427B5EAF" w14:textId="3F736769" w:rsidR="0082386A" w:rsidRPr="00F072BB" w:rsidRDefault="00F072BB" w:rsidP="00F072BB">
      <w:pPr>
        <w:pStyle w:val="Heading2"/>
        <w:spacing w:before="360"/>
        <w:jc w:val="center"/>
        <w:rPr>
          <w:rFonts w:ascii="Arial" w:hAnsi="Arial" w:cs="Arial"/>
          <w:lang w:val="pt-BR"/>
        </w:rPr>
      </w:pPr>
      <w:r>
        <w:rPr>
          <w:rFonts w:ascii="Arial" w:hAnsi="Arial" w:cs="Arial"/>
          <w:lang w:val="pt-BR"/>
        </w:rPr>
        <w:t>ANTECEDENTES</w:t>
      </w:r>
    </w:p>
    <w:p w14:paraId="11EC24A9" w14:textId="2FF2CBB0" w:rsidR="0082386A" w:rsidRPr="00F072BB" w:rsidRDefault="00265023" w:rsidP="00FA74E3">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w:instrText>
      </w:r>
      <w:r w:rsidRPr="00F072BB">
        <w:rPr>
          <w:rFonts w:ascii="Arial" w:hAnsi="Arial" w:cs="Arial"/>
        </w:rPr>
        <w:fldChar w:fldCharType="begin"/>
      </w:r>
      <w:r w:rsidRPr="00F072BB">
        <w:rPr>
          <w:rFonts w:ascii="Arial" w:hAnsi="Arial" w:cs="Arial"/>
          <w:lang w:val="pt-BR"/>
        </w:rPr>
        <w:instrText xml:space="preserve"> SEQ  dpara</w:instrText>
      </w:r>
      <w:r w:rsidRPr="00F072BB">
        <w:rPr>
          <w:rFonts w:ascii="Arial" w:hAnsi="Arial" w:cs="Arial"/>
        </w:rPr>
        <w:fldChar w:fldCharType="separate"/>
      </w:r>
      <w:r w:rsidRPr="00F072BB">
        <w:rPr>
          <w:rFonts w:ascii="Arial" w:hAnsi="Arial" w:cs="Arial"/>
          <w:noProof/>
          <w:lang w:val="pt-BR"/>
        </w:rPr>
        <w:instrText>1</w:instrText>
      </w:r>
      <w:r w:rsidRPr="00F072BB">
        <w:rPr>
          <w:rFonts w:ascii="Arial" w:hAnsi="Arial" w:cs="Arial"/>
        </w:rPr>
        <w:fldChar w:fldCharType="end"/>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3F2FEE" w:rsidRPr="00F072BB">
        <w:rPr>
          <w:lang w:val="pt-BR"/>
        </w:rPr>
        <w:t xml:space="preserve"> </w:t>
      </w:r>
      <w:r w:rsidR="003F2FEE" w:rsidRPr="00F072BB">
        <w:rPr>
          <w:rFonts w:ascii="Arial" w:hAnsi="Arial" w:cs="Arial"/>
          <w:lang w:val="pt-BR"/>
        </w:rPr>
        <w:t>A OCDE e a RFB lançaram em conjunto o projeto “</w:t>
      </w:r>
      <w:hyperlink r:id="rId16" w:history="1">
        <w:r w:rsidR="003F2FEE" w:rsidRPr="00F072BB">
          <w:rPr>
            <w:rStyle w:val="Hyperlink"/>
            <w:rFonts w:ascii="Arial" w:hAnsi="Arial" w:cs="Arial"/>
            <w:lang w:val="pt-BR"/>
          </w:rPr>
          <w:t>Preços de Transferência no Brasil</w:t>
        </w:r>
      </w:hyperlink>
      <w:r w:rsidR="003F2FEE" w:rsidRPr="00F072BB">
        <w:rPr>
          <w:rFonts w:ascii="Arial" w:hAnsi="Arial" w:cs="Arial"/>
          <w:lang w:val="pt-BR"/>
        </w:rPr>
        <w:t xml:space="preserve">” em </w:t>
      </w:r>
      <w:r w:rsidR="00924E45" w:rsidRPr="00F072BB">
        <w:rPr>
          <w:rFonts w:ascii="Arial" w:hAnsi="Arial" w:cs="Arial"/>
          <w:lang w:val="pt-BR"/>
        </w:rPr>
        <w:t xml:space="preserve">Fevereiro </w:t>
      </w:r>
      <w:r w:rsidR="003F2FEE" w:rsidRPr="00F072BB">
        <w:rPr>
          <w:rFonts w:ascii="Arial" w:hAnsi="Arial" w:cs="Arial"/>
          <w:lang w:val="pt-BR"/>
        </w:rPr>
        <w:t xml:space="preserve">de 2018 para revisar e analisar as diferenças nas regras brasileiras de preços de transferência em comparação com o padrão da OCDE. Em 18 de dezembro de 2019, as conclusões foram apresentadas ao público com a publicação do Relatório Conjunto, </w:t>
      </w:r>
      <w:hyperlink r:id="rId17" w:history="1">
        <w:r w:rsidR="003F2FEE" w:rsidRPr="00F072BB">
          <w:rPr>
            <w:rStyle w:val="Hyperlink"/>
            <w:rFonts w:ascii="Arial" w:hAnsi="Arial" w:cs="Arial"/>
            <w:i/>
            <w:lang w:val="pt-BR"/>
          </w:rPr>
          <w:t xml:space="preserve">Preços de Transferência no Brasil: Rumo à Convergência </w:t>
        </w:r>
        <w:r w:rsidR="00026E20" w:rsidRPr="00F072BB">
          <w:rPr>
            <w:rStyle w:val="Hyperlink"/>
            <w:rFonts w:ascii="Arial" w:hAnsi="Arial" w:cs="Arial"/>
            <w:i/>
            <w:lang w:val="pt-BR"/>
          </w:rPr>
          <w:t>para</w:t>
        </w:r>
        <w:r w:rsidR="003F2FEE" w:rsidRPr="00F072BB">
          <w:rPr>
            <w:rStyle w:val="Hyperlink"/>
            <w:rFonts w:ascii="Arial" w:hAnsi="Arial" w:cs="Arial"/>
            <w:i/>
            <w:lang w:val="pt-BR"/>
          </w:rPr>
          <w:t xml:space="preserve"> o Padrão da OCDE</w:t>
        </w:r>
      </w:hyperlink>
      <w:r w:rsidR="003F2FEE" w:rsidRPr="00F072BB">
        <w:rPr>
          <w:rFonts w:ascii="Arial" w:hAnsi="Arial" w:cs="Arial"/>
          <w:lang w:val="pt-BR"/>
        </w:rPr>
        <w:t>.</w:t>
      </w:r>
      <w:r w:rsidR="00B019DC" w:rsidRPr="00F072BB">
        <w:rPr>
          <w:rStyle w:val="FootnoteReference"/>
          <w:rFonts w:ascii="Arial" w:hAnsi="Arial" w:cs="Arial"/>
          <w:lang w:val="pt-BR"/>
        </w:rPr>
        <w:footnoteReference w:id="1"/>
      </w:r>
      <w:r w:rsidR="003F2FEE" w:rsidRPr="00F072BB">
        <w:rPr>
          <w:rFonts w:ascii="Arial" w:hAnsi="Arial" w:cs="Arial"/>
          <w:lang w:val="pt-BR"/>
        </w:rPr>
        <w:t xml:space="preserve"> O Relatório Conjunto identifica duas opções para o Brasil convergir com o padrão da OCDE, </w:t>
      </w:r>
      <w:r w:rsidR="00FA74E3" w:rsidRPr="00F072BB">
        <w:rPr>
          <w:rFonts w:ascii="Arial" w:hAnsi="Arial" w:cs="Arial"/>
          <w:lang w:val="pt-BR"/>
        </w:rPr>
        <w:t xml:space="preserve">ao mesmo tempo em que busca aprimorar </w:t>
      </w:r>
      <w:r w:rsidR="00FF42C5" w:rsidRPr="00F072BB">
        <w:rPr>
          <w:rFonts w:ascii="Arial" w:hAnsi="Arial" w:cs="Arial"/>
          <w:lang w:val="pt-BR"/>
        </w:rPr>
        <w:t>os aspectos positivos d</w:t>
      </w:r>
      <w:r w:rsidR="0059661C" w:rsidRPr="00F072BB">
        <w:rPr>
          <w:rFonts w:ascii="Arial" w:hAnsi="Arial" w:cs="Arial"/>
          <w:lang w:val="pt-BR"/>
        </w:rPr>
        <w:t>as regras</w:t>
      </w:r>
      <w:r w:rsidR="00FA74E3" w:rsidRPr="00F072BB">
        <w:rPr>
          <w:rFonts w:ascii="Arial" w:hAnsi="Arial" w:cs="Arial"/>
          <w:lang w:val="pt-BR"/>
        </w:rPr>
        <w:t xml:space="preserve"> de preços de transferência vigente</w:t>
      </w:r>
      <w:r w:rsidR="0059661C" w:rsidRPr="00F072BB">
        <w:rPr>
          <w:rFonts w:ascii="Arial" w:hAnsi="Arial" w:cs="Arial"/>
          <w:lang w:val="pt-BR"/>
        </w:rPr>
        <w:t>s</w:t>
      </w:r>
      <w:r w:rsidR="003F2FEE" w:rsidRPr="00F072BB">
        <w:rPr>
          <w:rFonts w:ascii="Arial" w:hAnsi="Arial" w:cs="Arial"/>
          <w:lang w:val="pt-BR"/>
        </w:rPr>
        <w:t xml:space="preserve">. </w:t>
      </w:r>
      <w:r w:rsidR="00FA74E3" w:rsidRPr="00F072BB">
        <w:rPr>
          <w:rFonts w:ascii="Arial" w:hAnsi="Arial" w:cs="Arial"/>
          <w:lang w:val="pt-BR"/>
        </w:rPr>
        <w:t xml:space="preserve">Ambas as opções contemplam o alinhamento com o princípio </w:t>
      </w:r>
      <w:r w:rsidR="00FA74E3" w:rsidRPr="00F072BB">
        <w:rPr>
          <w:rFonts w:ascii="Arial" w:hAnsi="Arial" w:cs="Arial"/>
          <w:i/>
          <w:lang w:val="pt-BR"/>
        </w:rPr>
        <w:t>arm’s length</w:t>
      </w:r>
      <w:r w:rsidR="00FF42C5" w:rsidRPr="00F072BB">
        <w:rPr>
          <w:rFonts w:ascii="Arial" w:hAnsi="Arial" w:cs="Arial"/>
          <w:i/>
          <w:lang w:val="pt-BR"/>
        </w:rPr>
        <w:t>,</w:t>
      </w:r>
      <w:r w:rsidR="00FA74E3" w:rsidRPr="00F072BB">
        <w:rPr>
          <w:rFonts w:ascii="Arial" w:hAnsi="Arial" w:cs="Arial"/>
          <w:lang w:val="pt-BR"/>
        </w:rPr>
        <w:t xml:space="preserve"> que é o cerne do padrão de preços de transferência da OCDE</w:t>
      </w:r>
      <w:r w:rsidR="00026E20" w:rsidRPr="00F072BB">
        <w:rPr>
          <w:rFonts w:ascii="Arial" w:hAnsi="Arial" w:cs="Arial"/>
          <w:lang w:val="pt-BR"/>
        </w:rPr>
        <w:t>,</w:t>
      </w:r>
      <w:r w:rsidR="00FA74E3" w:rsidRPr="00F072BB">
        <w:rPr>
          <w:rFonts w:ascii="Arial" w:hAnsi="Arial" w:cs="Arial"/>
          <w:lang w:val="pt-BR"/>
        </w:rPr>
        <w:t xml:space="preserve"> </w:t>
      </w:r>
      <w:r w:rsidR="00026E20" w:rsidRPr="00F072BB">
        <w:rPr>
          <w:rFonts w:ascii="Arial" w:hAnsi="Arial" w:cs="Arial"/>
          <w:lang w:val="pt-BR"/>
        </w:rPr>
        <w:t>ao mesmo tempo em que</w:t>
      </w:r>
      <w:r w:rsidR="00FA74E3" w:rsidRPr="00F072BB">
        <w:rPr>
          <w:rFonts w:ascii="Arial" w:hAnsi="Arial" w:cs="Arial"/>
          <w:lang w:val="pt-BR"/>
        </w:rPr>
        <w:t xml:space="preserve"> busca</w:t>
      </w:r>
      <w:r w:rsidR="00FF42C5" w:rsidRPr="00F072BB">
        <w:rPr>
          <w:rFonts w:ascii="Arial" w:hAnsi="Arial" w:cs="Arial"/>
          <w:lang w:val="pt-BR"/>
        </w:rPr>
        <w:t>m</w:t>
      </w:r>
      <w:r w:rsidR="00FA74E3" w:rsidRPr="00F072BB">
        <w:rPr>
          <w:rFonts w:ascii="Arial" w:hAnsi="Arial" w:cs="Arial"/>
          <w:lang w:val="pt-BR"/>
        </w:rPr>
        <w:t xml:space="preserve"> preservar a </w:t>
      </w:r>
      <w:r w:rsidR="002248A7" w:rsidRPr="00F072BB">
        <w:rPr>
          <w:rFonts w:ascii="Arial" w:hAnsi="Arial" w:cs="Arial"/>
          <w:lang w:val="pt-BR"/>
        </w:rPr>
        <w:t xml:space="preserve">simplicidade e </w:t>
      </w:r>
      <w:r w:rsidR="00281E98" w:rsidRPr="00F072BB">
        <w:rPr>
          <w:rFonts w:ascii="Arial" w:hAnsi="Arial" w:cs="Arial"/>
          <w:lang w:val="pt-BR"/>
        </w:rPr>
        <w:t>segurança</w:t>
      </w:r>
      <w:r w:rsidR="002248A7" w:rsidRPr="00F072BB">
        <w:rPr>
          <w:rFonts w:ascii="Arial" w:hAnsi="Arial" w:cs="Arial"/>
          <w:lang w:val="pt-BR"/>
        </w:rPr>
        <w:t xml:space="preserve"> jurídica</w:t>
      </w:r>
      <w:r w:rsidR="00026E20" w:rsidRPr="00F072BB">
        <w:rPr>
          <w:rFonts w:ascii="Arial" w:hAnsi="Arial" w:cs="Arial"/>
          <w:lang w:val="pt-BR"/>
        </w:rPr>
        <w:t xml:space="preserve">. </w:t>
      </w:r>
      <w:r w:rsidR="003F2FEE" w:rsidRPr="00F072BB">
        <w:rPr>
          <w:rFonts w:ascii="Arial" w:hAnsi="Arial" w:cs="Arial"/>
          <w:lang w:val="pt-BR"/>
        </w:rPr>
        <w:t xml:space="preserve">Nesse sentido, </w:t>
      </w:r>
      <w:r w:rsidR="00B27931" w:rsidRPr="00F072BB">
        <w:rPr>
          <w:rFonts w:ascii="Arial" w:hAnsi="Arial" w:cs="Arial"/>
          <w:i/>
          <w:lang w:val="pt-BR"/>
        </w:rPr>
        <w:t>safe harbours</w:t>
      </w:r>
      <w:r w:rsidR="003F2FEE" w:rsidRPr="00F072BB">
        <w:rPr>
          <w:rFonts w:ascii="Arial" w:hAnsi="Arial" w:cs="Arial"/>
          <w:lang w:val="pt-BR"/>
        </w:rPr>
        <w:t xml:space="preserve"> cuidadosamente </w:t>
      </w:r>
      <w:r w:rsidR="002B3448" w:rsidRPr="00F072BB">
        <w:rPr>
          <w:rFonts w:ascii="Arial" w:hAnsi="Arial" w:cs="Arial"/>
          <w:lang w:val="pt-BR"/>
        </w:rPr>
        <w:t>projetad</w:t>
      </w:r>
      <w:r w:rsidR="00DA38B4" w:rsidRPr="00F072BB">
        <w:rPr>
          <w:rFonts w:ascii="Arial" w:hAnsi="Arial" w:cs="Arial"/>
          <w:lang w:val="pt-BR"/>
        </w:rPr>
        <w:t>o</w:t>
      </w:r>
      <w:r w:rsidR="002B3448" w:rsidRPr="00F072BB">
        <w:rPr>
          <w:rFonts w:ascii="Arial" w:hAnsi="Arial" w:cs="Arial"/>
          <w:lang w:val="pt-BR"/>
        </w:rPr>
        <w:t xml:space="preserve">s </w:t>
      </w:r>
      <w:r w:rsidR="00DA38B4" w:rsidRPr="00F072BB">
        <w:rPr>
          <w:rFonts w:ascii="Arial" w:hAnsi="Arial" w:cs="Arial"/>
          <w:lang w:val="pt-BR"/>
        </w:rPr>
        <w:t xml:space="preserve">serão considerados em situações apropriadas. Safe harbours – </w:t>
      </w:r>
      <w:r w:rsidR="003F2FEE" w:rsidRPr="00F072BB">
        <w:rPr>
          <w:rFonts w:ascii="Arial" w:hAnsi="Arial" w:cs="Arial"/>
          <w:lang w:val="pt-BR"/>
        </w:rPr>
        <w:t xml:space="preserve"> que constituem abordagens simplificadas para det</w:t>
      </w:r>
      <w:r w:rsidR="00B27931" w:rsidRPr="00F072BB">
        <w:rPr>
          <w:rFonts w:ascii="Arial" w:hAnsi="Arial" w:cs="Arial"/>
          <w:lang w:val="pt-BR"/>
        </w:rPr>
        <w:t xml:space="preserve">erminar ou aproximar o preço </w:t>
      </w:r>
      <w:r w:rsidR="00B27931" w:rsidRPr="00F072BB">
        <w:rPr>
          <w:rFonts w:ascii="Arial" w:hAnsi="Arial" w:cs="Arial"/>
          <w:i/>
          <w:lang w:val="pt-BR"/>
        </w:rPr>
        <w:t>arm’s length</w:t>
      </w:r>
      <w:r w:rsidR="00924E45" w:rsidRPr="00F072BB">
        <w:rPr>
          <w:rFonts w:ascii="Arial" w:hAnsi="Arial" w:cs="Arial"/>
          <w:i/>
          <w:lang w:val="pt-BR"/>
        </w:rPr>
        <w:t>,</w:t>
      </w:r>
      <w:r w:rsidR="00B27931" w:rsidRPr="00F072BB">
        <w:rPr>
          <w:rFonts w:ascii="Arial" w:hAnsi="Arial" w:cs="Arial"/>
          <w:lang w:val="pt-BR"/>
        </w:rPr>
        <w:t xml:space="preserve"> </w:t>
      </w:r>
      <w:r w:rsidR="00334077" w:rsidRPr="00F072BB">
        <w:rPr>
          <w:rFonts w:ascii="Arial" w:hAnsi="Arial" w:cs="Arial"/>
          <w:lang w:val="pt-BR"/>
        </w:rPr>
        <w:t xml:space="preserve">ou </w:t>
      </w:r>
      <w:r w:rsidR="00924E45" w:rsidRPr="00F072BB">
        <w:rPr>
          <w:rFonts w:ascii="Arial" w:hAnsi="Arial" w:cs="Arial"/>
          <w:lang w:val="pt-BR"/>
        </w:rPr>
        <w:t xml:space="preserve">podem fornecer orientação simplificada em relação à conformidade tributária de processos complexos e onerosos </w:t>
      </w:r>
      <w:r w:rsidR="003F2FEE" w:rsidRPr="00F072BB">
        <w:rPr>
          <w:rFonts w:ascii="Arial" w:hAnsi="Arial" w:cs="Arial"/>
          <w:lang w:val="pt-BR"/>
        </w:rPr>
        <w:t>- pode</w:t>
      </w:r>
      <w:r w:rsidR="00FF42C5" w:rsidRPr="00F072BB">
        <w:rPr>
          <w:rFonts w:ascii="Arial" w:hAnsi="Arial" w:cs="Arial"/>
          <w:lang w:val="pt-BR"/>
        </w:rPr>
        <w:t>m</w:t>
      </w:r>
      <w:r w:rsidR="003F2FEE" w:rsidRPr="00F072BB">
        <w:rPr>
          <w:rFonts w:ascii="Arial" w:hAnsi="Arial" w:cs="Arial"/>
          <w:lang w:val="pt-BR"/>
        </w:rPr>
        <w:t xml:space="preserve"> </w:t>
      </w:r>
      <w:r w:rsidR="00026E20" w:rsidRPr="00F072BB">
        <w:rPr>
          <w:rFonts w:ascii="Arial" w:hAnsi="Arial" w:cs="Arial"/>
          <w:lang w:val="pt-BR"/>
        </w:rPr>
        <w:t>alcançar</w:t>
      </w:r>
      <w:r w:rsidR="003F2FEE" w:rsidRPr="00F072BB">
        <w:rPr>
          <w:rFonts w:ascii="Arial" w:hAnsi="Arial" w:cs="Arial"/>
          <w:lang w:val="pt-BR"/>
        </w:rPr>
        <w:t xml:space="preserve"> benefícios importantes em termos de simplicidade e segurança</w:t>
      </w:r>
      <w:r w:rsidR="00B61D5D" w:rsidRPr="00F072BB">
        <w:rPr>
          <w:rFonts w:ascii="Arial" w:hAnsi="Arial" w:cs="Arial"/>
          <w:lang w:val="pt-BR"/>
        </w:rPr>
        <w:t xml:space="preserve"> jurídica. S</w:t>
      </w:r>
      <w:r w:rsidR="003F2FEE" w:rsidRPr="00F072BB">
        <w:rPr>
          <w:rFonts w:ascii="Arial" w:hAnsi="Arial" w:cs="Arial"/>
          <w:lang w:val="pt-BR"/>
        </w:rPr>
        <w:t xml:space="preserve">e projetados </w:t>
      </w:r>
      <w:r w:rsidR="00B61D5D" w:rsidRPr="00F072BB">
        <w:rPr>
          <w:rFonts w:ascii="Arial" w:hAnsi="Arial" w:cs="Arial"/>
          <w:lang w:val="pt-BR"/>
        </w:rPr>
        <w:t xml:space="preserve">de forma adequada </w:t>
      </w:r>
      <w:r w:rsidR="003F2FEE" w:rsidRPr="00F072BB">
        <w:rPr>
          <w:rFonts w:ascii="Arial" w:hAnsi="Arial" w:cs="Arial"/>
          <w:lang w:val="pt-BR"/>
        </w:rPr>
        <w:t xml:space="preserve">(de acordo com o princípio do </w:t>
      </w:r>
      <w:r w:rsidR="00B61D5D" w:rsidRPr="00F072BB">
        <w:rPr>
          <w:rFonts w:ascii="Arial" w:hAnsi="Arial" w:cs="Arial"/>
          <w:i/>
          <w:lang w:val="pt-BR"/>
        </w:rPr>
        <w:t>arm’s length</w:t>
      </w:r>
      <w:r w:rsidR="003F2FEE" w:rsidRPr="00F072BB">
        <w:rPr>
          <w:rFonts w:ascii="Arial" w:hAnsi="Arial" w:cs="Arial"/>
          <w:lang w:val="pt-BR"/>
        </w:rPr>
        <w:t xml:space="preserve">) e aplicados em circunstâncias apropriadas (sob critérios </w:t>
      </w:r>
      <w:r w:rsidR="00B61D5D" w:rsidRPr="00F072BB">
        <w:rPr>
          <w:rFonts w:ascii="Arial" w:hAnsi="Arial" w:cs="Arial"/>
          <w:lang w:val="pt-BR"/>
        </w:rPr>
        <w:t>específicos</w:t>
      </w:r>
      <w:r w:rsidR="003F2FEE" w:rsidRPr="00F072BB">
        <w:rPr>
          <w:rFonts w:ascii="Arial" w:hAnsi="Arial" w:cs="Arial"/>
          <w:lang w:val="pt-BR"/>
        </w:rPr>
        <w:t xml:space="preserve"> de elegibilidade)</w:t>
      </w:r>
      <w:r w:rsidR="004E205C">
        <w:rPr>
          <w:rFonts w:ascii="Arial" w:hAnsi="Arial" w:cs="Arial"/>
          <w:lang w:val="pt-BR"/>
        </w:rPr>
        <w:t>. O</w:t>
      </w:r>
      <w:r w:rsidR="00FF42C5" w:rsidRPr="00F072BB">
        <w:rPr>
          <w:rFonts w:ascii="Arial" w:hAnsi="Arial" w:cs="Arial"/>
          <w:lang w:val="pt-BR"/>
        </w:rPr>
        <w:t xml:space="preserve">s </w:t>
      </w:r>
      <w:r w:rsidR="00FF42C5" w:rsidRPr="004E205C">
        <w:rPr>
          <w:rFonts w:ascii="Arial" w:hAnsi="Arial" w:cs="Arial"/>
          <w:i/>
          <w:lang w:val="pt-BR"/>
        </w:rPr>
        <w:t>safe harbours</w:t>
      </w:r>
      <w:r w:rsidR="004E205C">
        <w:rPr>
          <w:rFonts w:ascii="Arial" w:hAnsi="Arial" w:cs="Arial"/>
          <w:i/>
          <w:lang w:val="pt-BR"/>
        </w:rPr>
        <w:t xml:space="preserve"> </w:t>
      </w:r>
      <w:r w:rsidR="004E205C">
        <w:rPr>
          <w:rFonts w:ascii="Arial" w:hAnsi="Arial" w:cs="Arial"/>
          <w:lang w:val="pt-BR"/>
        </w:rPr>
        <w:t>também</w:t>
      </w:r>
      <w:r w:rsidR="003F2FEE" w:rsidRPr="00F072BB">
        <w:rPr>
          <w:rFonts w:ascii="Arial" w:hAnsi="Arial" w:cs="Arial"/>
          <w:lang w:val="pt-BR"/>
        </w:rPr>
        <w:t xml:space="preserve"> </w:t>
      </w:r>
      <w:r w:rsidR="004E205C">
        <w:rPr>
          <w:rFonts w:ascii="Arial" w:hAnsi="Arial" w:cs="Arial"/>
          <w:lang w:val="pt-BR"/>
        </w:rPr>
        <w:t>contribuem</w:t>
      </w:r>
      <w:r w:rsidR="003F2FEE" w:rsidRPr="00F072BB">
        <w:rPr>
          <w:rFonts w:ascii="Arial" w:hAnsi="Arial" w:cs="Arial"/>
          <w:lang w:val="pt-BR"/>
        </w:rPr>
        <w:t xml:space="preserve"> para reduzir os custos de conformidade tributária </w:t>
      </w:r>
      <w:r w:rsidR="00FF42C5" w:rsidRPr="00F072BB">
        <w:rPr>
          <w:rFonts w:ascii="Arial" w:hAnsi="Arial" w:cs="Arial"/>
          <w:lang w:val="pt-BR"/>
        </w:rPr>
        <w:t>d</w:t>
      </w:r>
      <w:r w:rsidR="003F2FEE" w:rsidRPr="00F072BB">
        <w:rPr>
          <w:rFonts w:ascii="Arial" w:hAnsi="Arial" w:cs="Arial"/>
          <w:lang w:val="pt-BR"/>
        </w:rPr>
        <w:t>os contribuintes</w:t>
      </w:r>
      <w:r w:rsidR="004E205C">
        <w:rPr>
          <w:rFonts w:ascii="Arial" w:hAnsi="Arial" w:cs="Arial"/>
          <w:lang w:val="pt-BR"/>
        </w:rPr>
        <w:t xml:space="preserve"> e tornar</w:t>
      </w:r>
      <w:r w:rsidR="003F2FEE" w:rsidRPr="00F072BB">
        <w:rPr>
          <w:rFonts w:ascii="Arial" w:hAnsi="Arial" w:cs="Arial"/>
          <w:lang w:val="pt-BR"/>
        </w:rPr>
        <w:t xml:space="preserve"> administração tributária </w:t>
      </w:r>
      <w:r w:rsidR="00B61D5D" w:rsidRPr="00F072BB">
        <w:rPr>
          <w:rFonts w:ascii="Arial" w:hAnsi="Arial" w:cs="Arial"/>
          <w:lang w:val="pt-BR"/>
        </w:rPr>
        <w:t>mais eficiente</w:t>
      </w:r>
      <w:r w:rsidR="003F2FEE" w:rsidRPr="00F072BB">
        <w:rPr>
          <w:rFonts w:ascii="Arial" w:hAnsi="Arial" w:cs="Arial"/>
          <w:lang w:val="pt-BR"/>
        </w:rPr>
        <w:t>. Outras medidas e práticas também podem contribuir para a segurança</w:t>
      </w:r>
      <w:r w:rsidR="00A517FC" w:rsidRPr="00F072BB">
        <w:rPr>
          <w:rFonts w:ascii="Arial" w:hAnsi="Arial" w:cs="Arial"/>
          <w:lang w:val="pt-BR"/>
        </w:rPr>
        <w:t xml:space="preserve"> jurídica em matéria</w:t>
      </w:r>
      <w:r w:rsidR="003F2FEE" w:rsidRPr="00F072BB">
        <w:rPr>
          <w:rFonts w:ascii="Arial" w:hAnsi="Arial" w:cs="Arial"/>
          <w:lang w:val="pt-BR"/>
        </w:rPr>
        <w:t xml:space="preserve"> tributária em situações em que os </w:t>
      </w:r>
      <w:r w:rsidR="00A517FC" w:rsidRPr="00F072BB">
        <w:rPr>
          <w:rFonts w:ascii="Arial" w:hAnsi="Arial" w:cs="Arial"/>
          <w:i/>
          <w:lang w:val="pt-BR"/>
        </w:rPr>
        <w:t>safe harbours</w:t>
      </w:r>
      <w:r w:rsidR="003F2FEE" w:rsidRPr="00F072BB">
        <w:rPr>
          <w:rFonts w:ascii="Arial" w:hAnsi="Arial" w:cs="Arial"/>
          <w:lang w:val="pt-BR"/>
        </w:rPr>
        <w:t xml:space="preserve"> não </w:t>
      </w:r>
      <w:r w:rsidR="00FF42C5" w:rsidRPr="00F072BB">
        <w:rPr>
          <w:rFonts w:ascii="Arial" w:hAnsi="Arial" w:cs="Arial"/>
          <w:lang w:val="pt-BR"/>
        </w:rPr>
        <w:t>são</w:t>
      </w:r>
      <w:r w:rsidR="00A517FC" w:rsidRPr="00F072BB">
        <w:rPr>
          <w:rFonts w:ascii="Arial" w:hAnsi="Arial" w:cs="Arial"/>
          <w:lang w:val="pt-BR"/>
        </w:rPr>
        <w:t xml:space="preserve"> adequado</w:t>
      </w:r>
      <w:r w:rsidR="00FF42C5" w:rsidRPr="00F072BB">
        <w:rPr>
          <w:rFonts w:ascii="Arial" w:hAnsi="Arial" w:cs="Arial"/>
          <w:lang w:val="pt-BR"/>
        </w:rPr>
        <w:t>s</w:t>
      </w:r>
      <w:r w:rsidR="003F2FEE" w:rsidRPr="00F072BB">
        <w:rPr>
          <w:rFonts w:ascii="Arial" w:hAnsi="Arial" w:cs="Arial"/>
          <w:lang w:val="pt-BR"/>
        </w:rPr>
        <w:t>. Tais medidas e práticas podem incluir acordos de preços antecipados (APA</w:t>
      </w:r>
      <w:r w:rsidR="00A517FC" w:rsidRPr="00F072BB">
        <w:rPr>
          <w:rFonts w:ascii="Arial" w:hAnsi="Arial" w:cs="Arial"/>
          <w:lang w:val="pt-BR"/>
        </w:rPr>
        <w:t>s</w:t>
      </w:r>
      <w:r w:rsidR="003F2FEE" w:rsidRPr="00F072BB">
        <w:rPr>
          <w:rFonts w:ascii="Arial" w:hAnsi="Arial" w:cs="Arial"/>
          <w:lang w:val="pt-BR"/>
        </w:rPr>
        <w:t xml:space="preserve">), que </w:t>
      </w:r>
      <w:r w:rsidR="00DA38B4" w:rsidRPr="00F072BB">
        <w:rPr>
          <w:rFonts w:ascii="Arial" w:hAnsi="Arial" w:cs="Arial"/>
          <w:lang w:val="pt-BR"/>
        </w:rPr>
        <w:t xml:space="preserve">também </w:t>
      </w:r>
      <w:r w:rsidR="003F2FEE" w:rsidRPr="00F072BB">
        <w:rPr>
          <w:rFonts w:ascii="Arial" w:hAnsi="Arial" w:cs="Arial"/>
          <w:lang w:val="pt-BR"/>
        </w:rPr>
        <w:t xml:space="preserve">podem </w:t>
      </w:r>
      <w:r w:rsidR="0059661C" w:rsidRPr="00F072BB">
        <w:rPr>
          <w:rFonts w:ascii="Arial" w:hAnsi="Arial" w:cs="Arial"/>
          <w:lang w:val="pt-BR"/>
        </w:rPr>
        <w:t>oferecer</w:t>
      </w:r>
      <w:r w:rsidR="003F2FEE" w:rsidRPr="00F072BB">
        <w:rPr>
          <w:rFonts w:ascii="Arial" w:hAnsi="Arial" w:cs="Arial"/>
          <w:lang w:val="pt-BR"/>
        </w:rPr>
        <w:t xml:space="preserve"> segurança </w:t>
      </w:r>
      <w:r w:rsidR="00A517FC" w:rsidRPr="00F072BB">
        <w:rPr>
          <w:rFonts w:ascii="Arial" w:hAnsi="Arial" w:cs="Arial"/>
          <w:lang w:val="pt-BR"/>
        </w:rPr>
        <w:t xml:space="preserve">jurídica em matéria </w:t>
      </w:r>
      <w:r w:rsidR="003F2FEE" w:rsidRPr="00F072BB">
        <w:rPr>
          <w:rFonts w:ascii="Arial" w:hAnsi="Arial" w:cs="Arial"/>
          <w:lang w:val="pt-BR"/>
        </w:rPr>
        <w:t xml:space="preserve">tributária  em transações de </w:t>
      </w:r>
      <w:r w:rsidR="00A517FC" w:rsidRPr="00F072BB">
        <w:rPr>
          <w:rFonts w:ascii="Arial" w:hAnsi="Arial" w:cs="Arial"/>
          <w:lang w:val="pt-BR"/>
        </w:rPr>
        <w:t>maior complexidade e risco</w:t>
      </w:r>
      <w:r w:rsidR="003F2FEE" w:rsidRPr="00F072BB">
        <w:rPr>
          <w:rFonts w:ascii="Arial" w:hAnsi="Arial" w:cs="Arial"/>
          <w:lang w:val="pt-BR"/>
        </w:rPr>
        <w:t>.</w:t>
      </w:r>
    </w:p>
    <w:p w14:paraId="6DF94621" w14:textId="4F826865" w:rsidR="008E7BD4" w:rsidRPr="00F072BB" w:rsidRDefault="00265023" w:rsidP="0082386A">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2.</w:instrText>
      </w:r>
      <w:r w:rsidRPr="00F072BB">
        <w:rPr>
          <w:rFonts w:ascii="Arial" w:hAnsi="Arial" w:cs="Arial"/>
          <w:lang w:val="pt-BR"/>
        </w:rPr>
        <w:tab/>
      </w:r>
      <w:r w:rsidRPr="00F072BB">
        <w:rPr>
          <w:rFonts w:ascii="Arial" w:hAnsi="Arial" w:cs="Arial"/>
        </w:rPr>
        <w:fldChar w:fldCharType="end"/>
      </w:r>
      <w:r w:rsidR="00CC24F6" w:rsidRPr="00F072BB">
        <w:rPr>
          <w:rFonts w:ascii="Arial" w:hAnsi="Arial" w:cs="Arial"/>
          <w:lang w:val="pt-BR"/>
        </w:rPr>
        <w:t>O desenvolvimento de</w:t>
      </w:r>
      <w:r w:rsidR="008E7BD4" w:rsidRPr="00F072BB">
        <w:rPr>
          <w:rFonts w:ascii="Arial" w:hAnsi="Arial" w:cs="Arial"/>
          <w:lang w:val="pt-BR"/>
        </w:rPr>
        <w:t xml:space="preserve"> </w:t>
      </w:r>
      <w:r w:rsidR="0059661C" w:rsidRPr="00F072BB">
        <w:rPr>
          <w:rFonts w:ascii="Arial" w:hAnsi="Arial" w:cs="Arial"/>
          <w:lang w:val="pt-BR"/>
        </w:rPr>
        <w:t xml:space="preserve">regras </w:t>
      </w:r>
      <w:r w:rsidR="008E7BD4" w:rsidRPr="00F072BB">
        <w:rPr>
          <w:rFonts w:ascii="Arial" w:hAnsi="Arial" w:cs="Arial"/>
          <w:lang w:val="pt-BR"/>
        </w:rPr>
        <w:t xml:space="preserve">de </w:t>
      </w:r>
      <w:r w:rsidR="00A517FC" w:rsidRPr="00F072BB">
        <w:rPr>
          <w:rFonts w:ascii="Arial" w:hAnsi="Arial" w:cs="Arial"/>
          <w:i/>
          <w:lang w:val="pt-BR"/>
        </w:rPr>
        <w:t xml:space="preserve">safe </w:t>
      </w:r>
      <w:r w:rsidR="008E7BD4" w:rsidRPr="00F072BB">
        <w:rPr>
          <w:rFonts w:ascii="Arial" w:hAnsi="Arial" w:cs="Arial"/>
          <w:i/>
          <w:lang w:val="pt-BR"/>
        </w:rPr>
        <w:t>harbours</w:t>
      </w:r>
      <w:r w:rsidR="008E7BD4" w:rsidRPr="00F072BB">
        <w:rPr>
          <w:rFonts w:ascii="Arial" w:hAnsi="Arial" w:cs="Arial"/>
          <w:lang w:val="pt-BR"/>
        </w:rPr>
        <w:t xml:space="preserve"> </w:t>
      </w:r>
      <w:r w:rsidR="00B25FEC" w:rsidRPr="00F072BB">
        <w:rPr>
          <w:rFonts w:ascii="Arial" w:hAnsi="Arial" w:cs="Arial"/>
          <w:lang w:val="pt-BR"/>
        </w:rPr>
        <w:t>tem como</w:t>
      </w:r>
      <w:r w:rsidR="008E7BD4" w:rsidRPr="00F072BB">
        <w:rPr>
          <w:rFonts w:ascii="Arial" w:hAnsi="Arial" w:cs="Arial"/>
          <w:lang w:val="pt-BR"/>
        </w:rPr>
        <w:t xml:space="preserve"> objetivos </w:t>
      </w:r>
      <w:r w:rsidR="00B25FEC" w:rsidRPr="00F072BB">
        <w:rPr>
          <w:rFonts w:ascii="Arial" w:hAnsi="Arial" w:cs="Arial"/>
          <w:lang w:val="pt-BR"/>
        </w:rPr>
        <w:t>a</w:t>
      </w:r>
      <w:r w:rsidR="008E7BD4" w:rsidRPr="00F072BB">
        <w:rPr>
          <w:rFonts w:ascii="Arial" w:hAnsi="Arial" w:cs="Arial"/>
          <w:lang w:val="pt-BR"/>
        </w:rPr>
        <w:t xml:space="preserve"> segurança jurídica em matéria tributária</w:t>
      </w:r>
      <w:r w:rsidR="002B3448" w:rsidRPr="00F072BB">
        <w:rPr>
          <w:rFonts w:ascii="Arial" w:hAnsi="Arial" w:cs="Arial"/>
          <w:lang w:val="pt-BR"/>
        </w:rPr>
        <w:t>,</w:t>
      </w:r>
      <w:r w:rsidR="008E7BD4" w:rsidRPr="00F072BB">
        <w:rPr>
          <w:rFonts w:ascii="Arial" w:hAnsi="Arial" w:cs="Arial"/>
          <w:lang w:val="pt-BR"/>
        </w:rPr>
        <w:t xml:space="preserve"> </w:t>
      </w:r>
      <w:r w:rsidR="00B25FEC" w:rsidRPr="00F072BB">
        <w:rPr>
          <w:rFonts w:ascii="Arial" w:hAnsi="Arial" w:cs="Arial"/>
          <w:lang w:val="pt-BR"/>
        </w:rPr>
        <w:t xml:space="preserve">a </w:t>
      </w:r>
      <w:r w:rsidR="008E7BD4" w:rsidRPr="00F072BB">
        <w:rPr>
          <w:rFonts w:ascii="Arial" w:hAnsi="Arial" w:cs="Arial"/>
          <w:lang w:val="pt-BR"/>
        </w:rPr>
        <w:t>simpli</w:t>
      </w:r>
      <w:r w:rsidR="00B25FEC" w:rsidRPr="00F072BB">
        <w:rPr>
          <w:rFonts w:ascii="Arial" w:hAnsi="Arial" w:cs="Arial"/>
          <w:lang w:val="pt-BR"/>
        </w:rPr>
        <w:t>ficação e redução dos custos de conformidade</w:t>
      </w:r>
      <w:r w:rsidR="002B3448" w:rsidRPr="00F072BB">
        <w:rPr>
          <w:rFonts w:ascii="Arial" w:hAnsi="Arial" w:cs="Arial"/>
          <w:lang w:val="pt-BR"/>
        </w:rPr>
        <w:t>,</w:t>
      </w:r>
      <w:r w:rsidR="00B25FEC" w:rsidRPr="00F072BB">
        <w:rPr>
          <w:rFonts w:ascii="Arial" w:hAnsi="Arial" w:cs="Arial"/>
          <w:lang w:val="pt-BR"/>
        </w:rPr>
        <w:t xml:space="preserve"> </w:t>
      </w:r>
      <w:r w:rsidR="002B3448" w:rsidRPr="00F072BB">
        <w:rPr>
          <w:rFonts w:ascii="Arial" w:hAnsi="Arial" w:cs="Arial"/>
          <w:lang w:val="pt-BR"/>
        </w:rPr>
        <w:t>objetivos</w:t>
      </w:r>
      <w:r w:rsidR="008E7BD4" w:rsidRPr="00F072BB">
        <w:rPr>
          <w:rFonts w:ascii="Arial" w:hAnsi="Arial" w:cs="Arial"/>
          <w:lang w:val="pt-BR"/>
        </w:rPr>
        <w:t xml:space="preserve"> originalmente planejados com a adoção de margens fixas no Brasil. </w:t>
      </w:r>
      <w:r w:rsidR="002B3448" w:rsidRPr="00F072BB">
        <w:rPr>
          <w:rFonts w:ascii="Arial" w:hAnsi="Arial" w:cs="Arial"/>
          <w:lang w:val="pt-BR"/>
        </w:rPr>
        <w:t>O modelo</w:t>
      </w:r>
      <w:r w:rsidR="00B25FEC" w:rsidRPr="00F072BB">
        <w:rPr>
          <w:rFonts w:ascii="Arial" w:hAnsi="Arial" w:cs="Arial"/>
          <w:lang w:val="pt-BR"/>
        </w:rPr>
        <w:t xml:space="preserve"> </w:t>
      </w:r>
      <w:r w:rsidR="008E7BD4" w:rsidRPr="00F072BB">
        <w:rPr>
          <w:rFonts w:ascii="Arial" w:hAnsi="Arial" w:cs="Arial"/>
          <w:lang w:val="pt-BR"/>
        </w:rPr>
        <w:t>de margens fixas</w:t>
      </w:r>
      <w:r w:rsidR="00DA38B4" w:rsidRPr="00F072BB">
        <w:rPr>
          <w:rFonts w:ascii="Arial" w:hAnsi="Arial" w:cs="Arial"/>
          <w:lang w:val="pt-BR"/>
        </w:rPr>
        <w:t>, que é aplicado unilateralmente pelo Brasil,</w:t>
      </w:r>
      <w:r w:rsidR="008E7BD4" w:rsidRPr="00F072BB">
        <w:rPr>
          <w:rFonts w:ascii="Arial" w:hAnsi="Arial" w:cs="Arial"/>
          <w:lang w:val="pt-BR"/>
        </w:rPr>
        <w:t xml:space="preserve"> foi </w:t>
      </w:r>
      <w:r w:rsidR="00590D08" w:rsidRPr="00F072BB">
        <w:rPr>
          <w:rFonts w:ascii="Arial" w:hAnsi="Arial" w:cs="Arial"/>
          <w:lang w:val="pt-BR"/>
        </w:rPr>
        <w:t xml:space="preserve">projetado </w:t>
      </w:r>
      <w:r w:rsidR="00D30E3F" w:rsidRPr="00F072BB">
        <w:rPr>
          <w:rFonts w:ascii="Arial" w:hAnsi="Arial" w:cs="Arial"/>
          <w:lang w:val="pt-BR"/>
        </w:rPr>
        <w:t xml:space="preserve"> em </w:t>
      </w:r>
      <w:r w:rsidR="008E7BD4" w:rsidRPr="00F072BB">
        <w:rPr>
          <w:rFonts w:ascii="Arial" w:hAnsi="Arial" w:cs="Arial"/>
          <w:lang w:val="pt-BR"/>
        </w:rPr>
        <w:t xml:space="preserve">uma realidade econômica diferente, </w:t>
      </w:r>
      <w:r w:rsidR="00B32CCF" w:rsidRPr="00F072BB">
        <w:rPr>
          <w:rFonts w:ascii="Arial" w:hAnsi="Arial" w:cs="Arial"/>
          <w:lang w:val="pt-BR"/>
        </w:rPr>
        <w:t>que</w:t>
      </w:r>
      <w:r w:rsidR="008E7BD4" w:rsidRPr="00F072BB">
        <w:rPr>
          <w:rFonts w:ascii="Arial" w:hAnsi="Arial" w:cs="Arial"/>
          <w:lang w:val="pt-BR"/>
        </w:rPr>
        <w:t xml:space="preserve"> não é mais </w:t>
      </w:r>
      <w:r w:rsidR="00B25FEC" w:rsidRPr="00F072BB">
        <w:rPr>
          <w:rFonts w:ascii="Arial" w:hAnsi="Arial" w:cs="Arial"/>
          <w:lang w:val="pt-BR"/>
        </w:rPr>
        <w:t xml:space="preserve">adequada </w:t>
      </w:r>
      <w:r w:rsidR="008E7BD4" w:rsidRPr="00F072BB">
        <w:rPr>
          <w:rFonts w:ascii="Arial" w:hAnsi="Arial" w:cs="Arial"/>
          <w:lang w:val="pt-BR"/>
        </w:rPr>
        <w:t xml:space="preserve">para lidar com a dinâmica da </w:t>
      </w:r>
      <w:r w:rsidR="00D30E3F" w:rsidRPr="00F072BB">
        <w:rPr>
          <w:rFonts w:ascii="Arial" w:hAnsi="Arial" w:cs="Arial"/>
          <w:lang w:val="pt-BR"/>
        </w:rPr>
        <w:t xml:space="preserve">atividade </w:t>
      </w:r>
      <w:r w:rsidR="008E7BD4" w:rsidRPr="00F072BB">
        <w:rPr>
          <w:rFonts w:ascii="Arial" w:hAnsi="Arial" w:cs="Arial"/>
          <w:lang w:val="pt-BR"/>
        </w:rPr>
        <w:t>econômica</w:t>
      </w:r>
      <w:r w:rsidR="002B3448" w:rsidRPr="00F072BB">
        <w:rPr>
          <w:rFonts w:ascii="Arial" w:hAnsi="Arial" w:cs="Arial"/>
          <w:lang w:val="pt-BR"/>
        </w:rPr>
        <w:t xml:space="preserve"> atual</w:t>
      </w:r>
      <w:r w:rsidR="008E7BD4" w:rsidRPr="00F072BB">
        <w:rPr>
          <w:rFonts w:ascii="Arial" w:hAnsi="Arial" w:cs="Arial"/>
          <w:lang w:val="pt-BR"/>
        </w:rPr>
        <w:t xml:space="preserve">, </w:t>
      </w:r>
      <w:r w:rsidR="00590D08" w:rsidRPr="00F072BB">
        <w:rPr>
          <w:rFonts w:ascii="Arial" w:hAnsi="Arial" w:cs="Arial"/>
          <w:lang w:val="pt-BR"/>
        </w:rPr>
        <w:t>pois acarreta</w:t>
      </w:r>
      <w:r w:rsidR="008E7BD4" w:rsidRPr="00F072BB">
        <w:rPr>
          <w:rFonts w:ascii="Arial" w:hAnsi="Arial" w:cs="Arial"/>
          <w:lang w:val="pt-BR"/>
        </w:rPr>
        <w:t xml:space="preserve"> perdas de </w:t>
      </w:r>
      <w:r w:rsidR="00B32CCF" w:rsidRPr="00F072BB">
        <w:rPr>
          <w:rFonts w:ascii="Arial" w:hAnsi="Arial" w:cs="Arial"/>
          <w:lang w:val="pt-BR"/>
        </w:rPr>
        <w:t>receita por meio das práticas de</w:t>
      </w:r>
      <w:r w:rsidR="008E7BD4" w:rsidRPr="00F072BB">
        <w:rPr>
          <w:rFonts w:ascii="Arial" w:hAnsi="Arial" w:cs="Arial"/>
          <w:lang w:val="pt-BR"/>
        </w:rPr>
        <w:t xml:space="preserve"> BEPS </w:t>
      </w:r>
      <w:r w:rsidR="00590D08" w:rsidRPr="00F072BB">
        <w:rPr>
          <w:rFonts w:ascii="Arial" w:hAnsi="Arial" w:cs="Arial"/>
          <w:lang w:val="pt-BR"/>
        </w:rPr>
        <w:t>e</w:t>
      </w:r>
      <w:r w:rsidR="008E7BD4" w:rsidRPr="00F072BB">
        <w:rPr>
          <w:rFonts w:ascii="Arial" w:hAnsi="Arial" w:cs="Arial"/>
          <w:lang w:val="pt-BR"/>
        </w:rPr>
        <w:t xml:space="preserve"> dupla tributação. O desenvolvimento de </w:t>
      </w:r>
      <w:r w:rsidR="00590D08" w:rsidRPr="00F072BB">
        <w:rPr>
          <w:rFonts w:ascii="Arial" w:hAnsi="Arial" w:cs="Arial"/>
          <w:lang w:val="pt-BR"/>
        </w:rPr>
        <w:t xml:space="preserve">regras de </w:t>
      </w:r>
      <w:r w:rsidR="00B32CCF" w:rsidRPr="00F072BB">
        <w:rPr>
          <w:rFonts w:ascii="Arial" w:hAnsi="Arial" w:cs="Arial"/>
          <w:i/>
          <w:lang w:val="pt-BR"/>
        </w:rPr>
        <w:t xml:space="preserve">safe </w:t>
      </w:r>
      <w:r w:rsidR="008E7BD4" w:rsidRPr="00F072BB">
        <w:rPr>
          <w:rFonts w:ascii="Arial" w:hAnsi="Arial" w:cs="Arial"/>
          <w:i/>
          <w:lang w:val="pt-BR"/>
        </w:rPr>
        <w:t>harbours</w:t>
      </w:r>
      <w:r w:rsidR="008E7BD4" w:rsidRPr="00F072BB">
        <w:rPr>
          <w:rFonts w:ascii="Arial" w:hAnsi="Arial" w:cs="Arial"/>
          <w:lang w:val="pt-BR"/>
        </w:rPr>
        <w:t xml:space="preserve">, </w:t>
      </w:r>
      <w:r w:rsidR="00590D08" w:rsidRPr="00F072BB">
        <w:rPr>
          <w:rFonts w:ascii="Arial" w:hAnsi="Arial" w:cs="Arial"/>
          <w:lang w:val="pt-BR"/>
        </w:rPr>
        <w:t>alinhadas</w:t>
      </w:r>
      <w:r w:rsidR="00B25FEC" w:rsidRPr="00F072BB">
        <w:rPr>
          <w:rFonts w:ascii="Arial" w:hAnsi="Arial" w:cs="Arial"/>
          <w:lang w:val="pt-BR"/>
        </w:rPr>
        <w:t xml:space="preserve"> ao</w:t>
      </w:r>
      <w:r w:rsidR="008E7BD4" w:rsidRPr="00F072BB">
        <w:rPr>
          <w:rFonts w:ascii="Arial" w:hAnsi="Arial" w:cs="Arial"/>
          <w:lang w:val="pt-BR"/>
        </w:rPr>
        <w:t xml:space="preserve"> princípio do </w:t>
      </w:r>
      <w:r w:rsidR="00B32CCF" w:rsidRPr="00F072BB">
        <w:rPr>
          <w:rFonts w:ascii="Arial" w:hAnsi="Arial" w:cs="Arial"/>
          <w:i/>
          <w:lang w:val="pt-BR"/>
        </w:rPr>
        <w:t>arm’s length</w:t>
      </w:r>
      <w:r w:rsidR="008E7BD4" w:rsidRPr="00F072BB">
        <w:rPr>
          <w:rFonts w:ascii="Arial" w:hAnsi="Arial" w:cs="Arial"/>
          <w:lang w:val="pt-BR"/>
        </w:rPr>
        <w:t xml:space="preserve">, </w:t>
      </w:r>
      <w:r w:rsidR="00590D08" w:rsidRPr="00F072BB">
        <w:rPr>
          <w:rFonts w:ascii="Arial" w:hAnsi="Arial" w:cs="Arial"/>
          <w:lang w:val="pt-BR"/>
        </w:rPr>
        <w:t xml:space="preserve">projetadas </w:t>
      </w:r>
      <w:r w:rsidR="008E7BD4" w:rsidRPr="00F072BB">
        <w:rPr>
          <w:rFonts w:ascii="Arial" w:hAnsi="Arial" w:cs="Arial"/>
          <w:lang w:val="pt-BR"/>
        </w:rPr>
        <w:t xml:space="preserve">de acordo com </w:t>
      </w:r>
      <w:r w:rsidR="00590D08" w:rsidRPr="00F072BB">
        <w:rPr>
          <w:rFonts w:ascii="Arial" w:hAnsi="Arial" w:cs="Arial"/>
          <w:lang w:val="pt-BR"/>
        </w:rPr>
        <w:t>a</w:t>
      </w:r>
      <w:r w:rsidR="00B25FEC" w:rsidRPr="00F072BB">
        <w:rPr>
          <w:rFonts w:ascii="Arial" w:hAnsi="Arial" w:cs="Arial"/>
          <w:lang w:val="pt-BR"/>
        </w:rPr>
        <w:t>s</w:t>
      </w:r>
      <w:r w:rsidR="008E7BD4" w:rsidRPr="00F072BB">
        <w:rPr>
          <w:rFonts w:ascii="Arial" w:hAnsi="Arial" w:cs="Arial"/>
          <w:lang w:val="pt-BR"/>
        </w:rPr>
        <w:t xml:space="preserve"> Diretrizes </w:t>
      </w:r>
      <w:r w:rsidR="00D30E3F" w:rsidRPr="00F072BB">
        <w:rPr>
          <w:rFonts w:ascii="Arial" w:hAnsi="Arial" w:cs="Arial"/>
          <w:lang w:val="pt-BR"/>
        </w:rPr>
        <w:t xml:space="preserve">de Preços de Transferência </w:t>
      </w:r>
      <w:r w:rsidR="008E7BD4" w:rsidRPr="00F072BB">
        <w:rPr>
          <w:rFonts w:ascii="Arial" w:hAnsi="Arial" w:cs="Arial"/>
          <w:lang w:val="pt-BR"/>
        </w:rPr>
        <w:t xml:space="preserve">da OCDE, </w:t>
      </w:r>
      <w:r w:rsidR="00D30E3F" w:rsidRPr="00F072BB">
        <w:rPr>
          <w:rFonts w:ascii="Arial" w:hAnsi="Arial" w:cs="Arial"/>
          <w:lang w:val="pt-BR"/>
        </w:rPr>
        <w:t xml:space="preserve">que leva </w:t>
      </w:r>
      <w:r w:rsidR="008E7BD4" w:rsidRPr="00F072BB">
        <w:rPr>
          <w:rFonts w:ascii="Arial" w:hAnsi="Arial" w:cs="Arial"/>
          <w:lang w:val="pt-BR"/>
        </w:rPr>
        <w:t xml:space="preserve">em consideração as especificidades do Brasil, </w:t>
      </w:r>
      <w:r w:rsidR="0075380C" w:rsidRPr="00F072BB">
        <w:rPr>
          <w:rFonts w:ascii="Arial" w:hAnsi="Arial" w:cs="Arial"/>
          <w:lang w:val="pt-BR"/>
        </w:rPr>
        <w:t>pode</w:t>
      </w:r>
      <w:r w:rsidR="00590D08" w:rsidRPr="00F072BB">
        <w:rPr>
          <w:rFonts w:ascii="Arial" w:hAnsi="Arial" w:cs="Arial"/>
          <w:lang w:val="pt-BR"/>
        </w:rPr>
        <w:t>m</w:t>
      </w:r>
      <w:r w:rsidR="008E7BD4" w:rsidRPr="00F072BB">
        <w:rPr>
          <w:rFonts w:ascii="Arial" w:hAnsi="Arial" w:cs="Arial"/>
          <w:lang w:val="pt-BR"/>
        </w:rPr>
        <w:t xml:space="preserve"> ajudar a alcançar </w:t>
      </w:r>
      <w:r w:rsidR="00B25FEC" w:rsidRPr="00F072BB">
        <w:rPr>
          <w:rFonts w:ascii="Arial" w:hAnsi="Arial" w:cs="Arial"/>
          <w:lang w:val="pt-BR"/>
        </w:rPr>
        <w:t>o objetivo</w:t>
      </w:r>
      <w:r w:rsidR="008E7BD4" w:rsidRPr="00F072BB">
        <w:rPr>
          <w:rFonts w:ascii="Arial" w:hAnsi="Arial" w:cs="Arial"/>
          <w:lang w:val="pt-BR"/>
        </w:rPr>
        <w:t xml:space="preserve"> original sem gerar </w:t>
      </w:r>
      <w:r w:rsidR="00B25FEC" w:rsidRPr="00F072BB">
        <w:rPr>
          <w:rFonts w:ascii="Arial" w:hAnsi="Arial" w:cs="Arial"/>
          <w:lang w:val="pt-BR"/>
        </w:rPr>
        <w:t>os efeitos</w:t>
      </w:r>
      <w:r w:rsidR="008E7BD4" w:rsidRPr="00F072BB">
        <w:rPr>
          <w:rFonts w:ascii="Arial" w:hAnsi="Arial" w:cs="Arial"/>
          <w:lang w:val="pt-BR"/>
        </w:rPr>
        <w:t xml:space="preserve"> </w:t>
      </w:r>
      <w:r w:rsidR="00B25FEC" w:rsidRPr="00F072BB">
        <w:rPr>
          <w:rFonts w:ascii="Arial" w:hAnsi="Arial" w:cs="Arial"/>
          <w:lang w:val="pt-BR"/>
        </w:rPr>
        <w:t>adversos,</w:t>
      </w:r>
      <w:r w:rsidR="00F60C5F" w:rsidRPr="00F072BB">
        <w:rPr>
          <w:rFonts w:ascii="Arial" w:hAnsi="Arial" w:cs="Arial"/>
          <w:lang w:val="pt-BR"/>
        </w:rPr>
        <w:t xml:space="preserve"> como os</w:t>
      </w:r>
      <w:r w:rsidR="0075380C" w:rsidRPr="00F072BB">
        <w:rPr>
          <w:rFonts w:ascii="Arial" w:hAnsi="Arial" w:cs="Arial"/>
          <w:lang w:val="pt-BR"/>
        </w:rPr>
        <w:t xml:space="preserve"> riscos de</w:t>
      </w:r>
      <w:r w:rsidR="008E7BD4" w:rsidRPr="00F072BB">
        <w:rPr>
          <w:rFonts w:ascii="Arial" w:hAnsi="Arial" w:cs="Arial"/>
          <w:lang w:val="pt-BR"/>
        </w:rPr>
        <w:t xml:space="preserve"> BEPS e </w:t>
      </w:r>
      <w:r w:rsidR="00F60C5F" w:rsidRPr="00F072BB">
        <w:rPr>
          <w:rFonts w:ascii="Arial" w:hAnsi="Arial" w:cs="Arial"/>
          <w:lang w:val="pt-BR"/>
        </w:rPr>
        <w:t xml:space="preserve">de </w:t>
      </w:r>
      <w:r w:rsidR="008E7BD4" w:rsidRPr="00F072BB">
        <w:rPr>
          <w:rFonts w:ascii="Arial" w:hAnsi="Arial" w:cs="Arial"/>
          <w:lang w:val="pt-BR"/>
        </w:rPr>
        <w:t>dupla tributação</w:t>
      </w:r>
      <w:r w:rsidR="0075380C" w:rsidRPr="00F072BB">
        <w:rPr>
          <w:rFonts w:ascii="Arial" w:hAnsi="Arial" w:cs="Arial"/>
          <w:lang w:val="pt-BR"/>
        </w:rPr>
        <w:t>.</w:t>
      </w:r>
    </w:p>
    <w:p w14:paraId="1414AAB7" w14:textId="2F30EEF8" w:rsidR="008E7BD4" w:rsidRPr="00F072BB" w:rsidRDefault="00265023" w:rsidP="0082386A">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3.</w:instrText>
      </w:r>
      <w:r w:rsidRPr="00F072BB">
        <w:rPr>
          <w:rFonts w:ascii="Arial" w:hAnsi="Arial" w:cs="Arial"/>
          <w:lang w:val="pt-BR"/>
        </w:rPr>
        <w:tab/>
      </w:r>
      <w:r w:rsidRPr="00F072BB">
        <w:rPr>
          <w:rFonts w:ascii="Arial" w:hAnsi="Arial" w:cs="Arial"/>
        </w:rPr>
        <w:fldChar w:fldCharType="end"/>
      </w:r>
      <w:r w:rsidR="008E7BD4" w:rsidRPr="00F072BB">
        <w:rPr>
          <w:rFonts w:ascii="Arial" w:hAnsi="Arial" w:cs="Arial"/>
          <w:lang w:val="pt-BR"/>
        </w:rPr>
        <w:t xml:space="preserve">Para informar o trabalho relacionado ao desenvolvimento de </w:t>
      </w:r>
      <w:r w:rsidR="007A20D6" w:rsidRPr="00F072BB">
        <w:rPr>
          <w:rFonts w:ascii="Arial" w:hAnsi="Arial" w:cs="Arial"/>
          <w:i/>
          <w:lang w:val="pt-BR"/>
        </w:rPr>
        <w:t>safe harbours</w:t>
      </w:r>
      <w:r w:rsidR="008E7BD4" w:rsidRPr="00F072BB">
        <w:rPr>
          <w:rFonts w:ascii="Arial" w:hAnsi="Arial" w:cs="Arial"/>
          <w:lang w:val="pt-BR"/>
        </w:rPr>
        <w:t xml:space="preserve">, bem como </w:t>
      </w:r>
      <w:r w:rsidR="00A92565" w:rsidRPr="00F072BB">
        <w:rPr>
          <w:rFonts w:ascii="Arial" w:hAnsi="Arial" w:cs="Arial"/>
          <w:lang w:val="pt-BR"/>
        </w:rPr>
        <w:t xml:space="preserve">de </w:t>
      </w:r>
      <w:r w:rsidR="008E7BD4" w:rsidRPr="00F072BB">
        <w:rPr>
          <w:rFonts w:ascii="Arial" w:hAnsi="Arial" w:cs="Arial"/>
          <w:lang w:val="pt-BR"/>
        </w:rPr>
        <w:t xml:space="preserve">outras medidas de simplificação, é importante </w:t>
      </w:r>
      <w:r w:rsidR="00F60C5F" w:rsidRPr="00F072BB">
        <w:rPr>
          <w:rFonts w:ascii="Arial" w:hAnsi="Arial" w:cs="Arial"/>
          <w:lang w:val="pt-BR"/>
        </w:rPr>
        <w:t>contar com a colaboração</w:t>
      </w:r>
      <w:r w:rsidR="008E7BD4" w:rsidRPr="00F072BB">
        <w:rPr>
          <w:rFonts w:ascii="Arial" w:hAnsi="Arial" w:cs="Arial"/>
          <w:lang w:val="pt-BR"/>
        </w:rPr>
        <w:t xml:space="preserve"> dos contribuintes e de o</w:t>
      </w:r>
      <w:r w:rsidR="006B0CEE" w:rsidRPr="00F072BB">
        <w:rPr>
          <w:rFonts w:ascii="Arial" w:hAnsi="Arial" w:cs="Arial"/>
          <w:lang w:val="pt-BR"/>
        </w:rPr>
        <w:t xml:space="preserve">utras partes interessadas. </w:t>
      </w:r>
      <w:r w:rsidR="009B2709" w:rsidRPr="00F072BB">
        <w:rPr>
          <w:rFonts w:ascii="Arial" w:hAnsi="Arial" w:cs="Arial"/>
          <w:lang w:val="pt-BR"/>
        </w:rPr>
        <w:t xml:space="preserve">As informações </w:t>
      </w:r>
      <w:r w:rsidR="00A92565" w:rsidRPr="00F072BB">
        <w:rPr>
          <w:rFonts w:ascii="Arial" w:hAnsi="Arial" w:cs="Arial"/>
          <w:lang w:val="pt-BR"/>
        </w:rPr>
        <w:t>recebidas</w:t>
      </w:r>
      <w:r w:rsidR="009B2709" w:rsidRPr="00F072BB">
        <w:rPr>
          <w:rFonts w:ascii="Arial" w:hAnsi="Arial" w:cs="Arial"/>
          <w:lang w:val="pt-BR"/>
        </w:rPr>
        <w:t xml:space="preserve"> auxiliar</w:t>
      </w:r>
      <w:r w:rsidR="00A92565" w:rsidRPr="00F072BB">
        <w:rPr>
          <w:rFonts w:ascii="Arial" w:hAnsi="Arial" w:cs="Arial"/>
          <w:lang w:val="pt-BR"/>
        </w:rPr>
        <w:t>ão</w:t>
      </w:r>
      <w:r w:rsidR="009B2709" w:rsidRPr="00F072BB">
        <w:rPr>
          <w:rFonts w:ascii="Arial" w:hAnsi="Arial" w:cs="Arial"/>
          <w:lang w:val="pt-BR"/>
        </w:rPr>
        <w:t xml:space="preserve"> o </w:t>
      </w:r>
      <w:r w:rsidR="009B2709" w:rsidRPr="00F072BB">
        <w:rPr>
          <w:rFonts w:ascii="Arial" w:hAnsi="Arial" w:cs="Arial"/>
          <w:lang w:val="pt-BR"/>
        </w:rPr>
        <w:lastRenderedPageBreak/>
        <w:t xml:space="preserve">entendimento das </w:t>
      </w:r>
      <w:r w:rsidR="00A92565" w:rsidRPr="00F072BB">
        <w:rPr>
          <w:rFonts w:ascii="Arial" w:hAnsi="Arial" w:cs="Arial"/>
          <w:lang w:val="pt-BR"/>
        </w:rPr>
        <w:t xml:space="preserve">operações </w:t>
      </w:r>
      <w:r w:rsidR="009B2709" w:rsidRPr="00F072BB">
        <w:rPr>
          <w:rFonts w:ascii="Arial" w:hAnsi="Arial" w:cs="Arial"/>
          <w:lang w:val="pt-BR"/>
        </w:rPr>
        <w:t xml:space="preserve">e necessidades específicas dos contribuintes, </w:t>
      </w:r>
      <w:r w:rsidR="00A92565" w:rsidRPr="00F072BB">
        <w:rPr>
          <w:rFonts w:ascii="Arial" w:hAnsi="Arial" w:cs="Arial"/>
          <w:lang w:val="pt-BR"/>
        </w:rPr>
        <w:t>que acarretam dificuldades n</w:t>
      </w:r>
      <w:r w:rsidR="009B2709" w:rsidRPr="00F072BB">
        <w:rPr>
          <w:rFonts w:ascii="Arial" w:hAnsi="Arial" w:cs="Arial"/>
          <w:lang w:val="pt-BR"/>
        </w:rPr>
        <w:t>a análise de comparabilidade</w:t>
      </w:r>
      <w:r w:rsidR="00FB2964" w:rsidRPr="00F072BB">
        <w:rPr>
          <w:rFonts w:ascii="Arial" w:hAnsi="Arial" w:cs="Arial"/>
          <w:lang w:val="pt-BR"/>
        </w:rPr>
        <w:t xml:space="preserve">. </w:t>
      </w:r>
      <w:r w:rsidR="008E7BD4" w:rsidRPr="00F072BB">
        <w:rPr>
          <w:rFonts w:ascii="Arial" w:hAnsi="Arial" w:cs="Arial"/>
          <w:lang w:val="pt-BR"/>
        </w:rPr>
        <w:t xml:space="preserve">Portanto, este documento contém um convite aberto aos contribuintes e outras partes interessadas para </w:t>
      </w:r>
      <w:r w:rsidR="00F60C5F" w:rsidRPr="00F072BB">
        <w:rPr>
          <w:rFonts w:ascii="Arial" w:hAnsi="Arial" w:cs="Arial"/>
          <w:lang w:val="pt-BR"/>
        </w:rPr>
        <w:t xml:space="preserve">colaborar </w:t>
      </w:r>
      <w:r w:rsidR="008E7BD4" w:rsidRPr="00F072BB">
        <w:rPr>
          <w:rFonts w:ascii="Arial" w:hAnsi="Arial" w:cs="Arial"/>
          <w:lang w:val="pt-BR"/>
        </w:rPr>
        <w:t>com</w:t>
      </w:r>
      <w:r w:rsidR="00FB2964" w:rsidRPr="00F072BB">
        <w:rPr>
          <w:rFonts w:ascii="Arial" w:hAnsi="Arial" w:cs="Arial"/>
          <w:lang w:val="pt-BR"/>
        </w:rPr>
        <w:t xml:space="preserve"> o projeto em andamento da OCDE/</w:t>
      </w:r>
      <w:r w:rsidR="008E7BD4" w:rsidRPr="00F072BB">
        <w:rPr>
          <w:rFonts w:ascii="Arial" w:hAnsi="Arial" w:cs="Arial"/>
          <w:lang w:val="pt-BR"/>
        </w:rPr>
        <w:t xml:space="preserve">RFB, </w:t>
      </w:r>
      <w:r w:rsidR="00F60C5F" w:rsidRPr="00F072BB">
        <w:rPr>
          <w:rFonts w:ascii="Arial" w:hAnsi="Arial" w:cs="Arial"/>
          <w:lang w:val="pt-BR"/>
        </w:rPr>
        <w:t xml:space="preserve">apresentando </w:t>
      </w:r>
      <w:r w:rsidR="00FB2964" w:rsidRPr="00F072BB">
        <w:rPr>
          <w:rFonts w:ascii="Arial" w:hAnsi="Arial" w:cs="Arial"/>
          <w:lang w:val="pt-BR"/>
        </w:rPr>
        <w:t>sua</w:t>
      </w:r>
      <w:r w:rsidR="008C1CB9" w:rsidRPr="00F072BB">
        <w:rPr>
          <w:rFonts w:ascii="Arial" w:hAnsi="Arial" w:cs="Arial"/>
          <w:lang w:val="pt-BR"/>
        </w:rPr>
        <w:t>s</w:t>
      </w:r>
      <w:r w:rsidR="008E7BD4" w:rsidRPr="00F072BB">
        <w:rPr>
          <w:rFonts w:ascii="Arial" w:hAnsi="Arial" w:cs="Arial"/>
          <w:lang w:val="pt-BR"/>
        </w:rPr>
        <w:t xml:space="preserve"> experiência ou comentários específicos sobre elementos relevantes para o desenvolvimento de </w:t>
      </w:r>
      <w:r w:rsidR="00441EF0" w:rsidRPr="00F072BB">
        <w:rPr>
          <w:rFonts w:ascii="Arial" w:hAnsi="Arial" w:cs="Arial"/>
          <w:lang w:val="pt-BR"/>
        </w:rPr>
        <w:t xml:space="preserve">regras </w:t>
      </w:r>
      <w:r w:rsidR="008E7BD4" w:rsidRPr="00F072BB">
        <w:rPr>
          <w:rFonts w:ascii="Arial" w:hAnsi="Arial" w:cs="Arial"/>
          <w:lang w:val="pt-BR"/>
        </w:rPr>
        <w:t xml:space="preserve">de </w:t>
      </w:r>
      <w:r w:rsidR="008E7BD4" w:rsidRPr="00F072BB">
        <w:rPr>
          <w:rFonts w:ascii="Arial" w:hAnsi="Arial" w:cs="Arial"/>
          <w:i/>
          <w:lang w:val="pt-BR"/>
        </w:rPr>
        <w:t>safe harbours</w:t>
      </w:r>
      <w:r w:rsidR="008E7BD4" w:rsidRPr="00F072BB">
        <w:rPr>
          <w:rFonts w:ascii="Arial" w:hAnsi="Arial" w:cs="Arial"/>
          <w:lang w:val="pt-BR"/>
        </w:rPr>
        <w:t xml:space="preserve"> e outras medidas que contribuem para a segurança</w:t>
      </w:r>
      <w:r w:rsidR="00C42ADD" w:rsidRPr="00F072BB">
        <w:rPr>
          <w:rFonts w:ascii="Arial" w:hAnsi="Arial" w:cs="Arial"/>
          <w:lang w:val="pt-BR"/>
        </w:rPr>
        <w:t xml:space="preserve"> jurí</w:t>
      </w:r>
      <w:r w:rsidR="00FB2964" w:rsidRPr="00F072BB">
        <w:rPr>
          <w:rFonts w:ascii="Arial" w:hAnsi="Arial" w:cs="Arial"/>
          <w:lang w:val="pt-BR"/>
        </w:rPr>
        <w:t>dica</w:t>
      </w:r>
      <w:r w:rsidR="008E7BD4" w:rsidRPr="00F072BB">
        <w:rPr>
          <w:rFonts w:ascii="Arial" w:hAnsi="Arial" w:cs="Arial"/>
          <w:lang w:val="pt-BR"/>
        </w:rPr>
        <w:t xml:space="preserve"> </w:t>
      </w:r>
      <w:r w:rsidR="00C42ADD" w:rsidRPr="00F072BB">
        <w:rPr>
          <w:rFonts w:ascii="Arial" w:hAnsi="Arial" w:cs="Arial"/>
          <w:lang w:val="pt-BR"/>
        </w:rPr>
        <w:t xml:space="preserve">em matéria </w:t>
      </w:r>
      <w:r w:rsidR="008E7BD4" w:rsidRPr="00F072BB">
        <w:rPr>
          <w:rFonts w:ascii="Arial" w:hAnsi="Arial" w:cs="Arial"/>
          <w:lang w:val="pt-BR"/>
        </w:rPr>
        <w:t xml:space="preserve">tributária no Brasil. Para estruturar a </w:t>
      </w:r>
      <w:r w:rsidR="00BD56EF" w:rsidRPr="00F072BB">
        <w:rPr>
          <w:rFonts w:ascii="Arial" w:hAnsi="Arial" w:cs="Arial"/>
          <w:lang w:val="pt-BR"/>
        </w:rPr>
        <w:t>referida contribuição</w:t>
      </w:r>
      <w:r w:rsidR="008E7BD4" w:rsidRPr="00F072BB">
        <w:rPr>
          <w:rFonts w:ascii="Arial" w:hAnsi="Arial" w:cs="Arial"/>
          <w:lang w:val="pt-BR"/>
        </w:rPr>
        <w:t>, foi elaborad</w:t>
      </w:r>
      <w:r w:rsidR="008C1CB9" w:rsidRPr="00F072BB">
        <w:rPr>
          <w:rFonts w:ascii="Arial" w:hAnsi="Arial" w:cs="Arial"/>
          <w:lang w:val="pt-BR"/>
        </w:rPr>
        <w:t>a</w:t>
      </w:r>
      <w:r w:rsidR="008E7BD4" w:rsidRPr="00F072BB">
        <w:rPr>
          <w:rFonts w:ascii="Arial" w:hAnsi="Arial" w:cs="Arial"/>
          <w:lang w:val="pt-BR"/>
        </w:rPr>
        <w:t xml:space="preserve"> um</w:t>
      </w:r>
      <w:r w:rsidR="008C1CB9" w:rsidRPr="00F072BB">
        <w:rPr>
          <w:rFonts w:ascii="Arial" w:hAnsi="Arial" w:cs="Arial"/>
          <w:lang w:val="pt-BR"/>
        </w:rPr>
        <w:t>a</w:t>
      </w:r>
      <w:r w:rsidR="008E7BD4" w:rsidRPr="00F072BB">
        <w:rPr>
          <w:rFonts w:ascii="Arial" w:hAnsi="Arial" w:cs="Arial"/>
          <w:lang w:val="pt-BR"/>
        </w:rPr>
        <w:t xml:space="preserve"> </w:t>
      </w:r>
      <w:r w:rsidR="008C1CB9" w:rsidRPr="00F072BB">
        <w:rPr>
          <w:rFonts w:ascii="Arial" w:hAnsi="Arial" w:cs="Arial"/>
          <w:lang w:val="pt-BR"/>
        </w:rPr>
        <w:t>pesquisa</w:t>
      </w:r>
      <w:r w:rsidR="008E7BD4" w:rsidRPr="00F072BB">
        <w:rPr>
          <w:rFonts w:ascii="Arial" w:hAnsi="Arial" w:cs="Arial"/>
          <w:lang w:val="pt-BR"/>
        </w:rPr>
        <w:t>, precedid</w:t>
      </w:r>
      <w:r w:rsidR="008C1CB9" w:rsidRPr="00F072BB">
        <w:rPr>
          <w:rFonts w:ascii="Arial" w:hAnsi="Arial" w:cs="Arial"/>
          <w:lang w:val="pt-BR"/>
        </w:rPr>
        <w:t>a</w:t>
      </w:r>
      <w:r w:rsidR="008E7BD4" w:rsidRPr="00F072BB">
        <w:rPr>
          <w:rFonts w:ascii="Arial" w:hAnsi="Arial" w:cs="Arial"/>
          <w:lang w:val="pt-BR"/>
        </w:rPr>
        <w:t xml:space="preserve"> por uma nota introdutória, </w:t>
      </w:r>
      <w:r w:rsidR="00BD56EF" w:rsidRPr="00F072BB">
        <w:rPr>
          <w:rFonts w:ascii="Arial" w:hAnsi="Arial" w:cs="Arial"/>
          <w:lang w:val="pt-BR"/>
        </w:rPr>
        <w:t>que apresenta</w:t>
      </w:r>
      <w:r w:rsidR="008E7BD4" w:rsidRPr="00F072BB">
        <w:rPr>
          <w:rFonts w:ascii="Arial" w:hAnsi="Arial" w:cs="Arial"/>
          <w:lang w:val="pt-BR"/>
        </w:rPr>
        <w:t xml:space="preserve"> os antecedentes e o contexto das perguntas.</w:t>
      </w:r>
    </w:p>
    <w:p w14:paraId="356F3A74" w14:textId="36F2E9F4" w:rsidR="008E7BD4" w:rsidRPr="00F072BB" w:rsidRDefault="00265023" w:rsidP="0082386A">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4.</w:instrText>
      </w:r>
      <w:r w:rsidRPr="00F072BB">
        <w:rPr>
          <w:rFonts w:ascii="Arial" w:hAnsi="Arial" w:cs="Arial"/>
          <w:lang w:val="pt-BR"/>
        </w:rPr>
        <w:tab/>
      </w:r>
      <w:r w:rsidRPr="00F072BB">
        <w:rPr>
          <w:rFonts w:ascii="Arial" w:hAnsi="Arial" w:cs="Arial"/>
        </w:rPr>
        <w:fldChar w:fldCharType="end"/>
      </w:r>
      <w:r w:rsidR="008C1CB9" w:rsidRPr="00F072BB">
        <w:rPr>
          <w:rFonts w:ascii="Arial" w:hAnsi="Arial" w:cs="Arial"/>
          <w:lang w:val="pt-BR"/>
        </w:rPr>
        <w:t xml:space="preserve"> P</w:t>
      </w:r>
      <w:r w:rsidR="00D30E3F" w:rsidRPr="00F072BB">
        <w:rPr>
          <w:rFonts w:ascii="Arial" w:hAnsi="Arial" w:cs="Arial"/>
          <w:lang w:val="pt-BR"/>
        </w:rPr>
        <w:t>or favor, note que esta pesquisa</w:t>
      </w:r>
      <w:r w:rsidR="008C1CB9" w:rsidRPr="00F072BB">
        <w:rPr>
          <w:rFonts w:ascii="Arial" w:hAnsi="Arial" w:cs="Arial"/>
          <w:lang w:val="pt-BR"/>
        </w:rPr>
        <w:t xml:space="preserve"> é estritamente confidencial; informações individuais ou organizacionais específicas não serão divulgadas. </w:t>
      </w:r>
      <w:r w:rsidR="008E7BD4" w:rsidRPr="00F072BB">
        <w:rPr>
          <w:rFonts w:ascii="Arial" w:hAnsi="Arial" w:cs="Arial"/>
          <w:lang w:val="pt-BR"/>
        </w:rPr>
        <w:t xml:space="preserve"> </w:t>
      </w:r>
      <w:r w:rsidR="008C1CB9" w:rsidRPr="00F072BB">
        <w:rPr>
          <w:rFonts w:ascii="Arial" w:hAnsi="Arial" w:cs="Arial"/>
          <w:lang w:val="pt-BR"/>
        </w:rPr>
        <w:t>Os comentários</w:t>
      </w:r>
      <w:r w:rsidR="008E7BD4" w:rsidRPr="00F072BB">
        <w:rPr>
          <w:rFonts w:ascii="Arial" w:hAnsi="Arial" w:cs="Arial"/>
          <w:lang w:val="pt-BR"/>
        </w:rPr>
        <w:t xml:space="preserve"> podem ser </w:t>
      </w:r>
      <w:r w:rsidR="00BB1ACE" w:rsidRPr="00F072BB">
        <w:rPr>
          <w:rFonts w:ascii="Arial" w:hAnsi="Arial" w:cs="Arial"/>
          <w:lang w:val="pt-BR"/>
        </w:rPr>
        <w:t>enviad</w:t>
      </w:r>
      <w:r w:rsidR="008C1CB9" w:rsidRPr="00F072BB">
        <w:rPr>
          <w:rFonts w:ascii="Arial" w:hAnsi="Arial" w:cs="Arial"/>
          <w:lang w:val="pt-BR"/>
        </w:rPr>
        <w:t>o</w:t>
      </w:r>
      <w:r w:rsidR="00BB1ACE" w:rsidRPr="00F072BB">
        <w:rPr>
          <w:rFonts w:ascii="Arial" w:hAnsi="Arial" w:cs="Arial"/>
          <w:lang w:val="pt-BR"/>
        </w:rPr>
        <w:t xml:space="preserve">s </w:t>
      </w:r>
      <w:r w:rsidR="008E7BD4" w:rsidRPr="00F072BB">
        <w:rPr>
          <w:rFonts w:ascii="Arial" w:hAnsi="Arial" w:cs="Arial"/>
          <w:lang w:val="pt-BR"/>
        </w:rPr>
        <w:t xml:space="preserve">em português </w:t>
      </w:r>
      <w:r w:rsidR="00BB1ACE" w:rsidRPr="00F072BB">
        <w:rPr>
          <w:rFonts w:ascii="Arial" w:hAnsi="Arial" w:cs="Arial"/>
          <w:lang w:val="pt-BR"/>
        </w:rPr>
        <w:t xml:space="preserve">ou em </w:t>
      </w:r>
      <w:r w:rsidR="008E7BD4" w:rsidRPr="00F072BB">
        <w:rPr>
          <w:rFonts w:ascii="Arial" w:hAnsi="Arial" w:cs="Arial"/>
          <w:lang w:val="pt-BR"/>
        </w:rPr>
        <w:t>inglês.</w:t>
      </w:r>
    </w:p>
    <w:p w14:paraId="6EF27DE7" w14:textId="7144CEA3" w:rsidR="00F072BB" w:rsidRPr="00F072BB" w:rsidRDefault="00265023" w:rsidP="008E7BD4">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5.</w:instrText>
      </w:r>
      <w:r w:rsidRPr="00F072BB">
        <w:rPr>
          <w:rFonts w:ascii="Arial" w:hAnsi="Arial" w:cs="Arial"/>
          <w:lang w:val="pt-BR"/>
        </w:rPr>
        <w:tab/>
      </w:r>
      <w:r w:rsidRPr="00F072BB">
        <w:rPr>
          <w:rFonts w:ascii="Arial" w:hAnsi="Arial" w:cs="Arial"/>
        </w:rPr>
        <w:fldChar w:fldCharType="end"/>
      </w:r>
      <w:r w:rsidR="0060608C" w:rsidRPr="00F072BB">
        <w:rPr>
          <w:rFonts w:ascii="Arial" w:hAnsi="Arial" w:cs="Arial"/>
          <w:lang w:val="pt-BR"/>
        </w:rPr>
        <w:t>As informações</w:t>
      </w:r>
      <w:r w:rsidR="008E7BD4" w:rsidRPr="00F072BB">
        <w:rPr>
          <w:rFonts w:ascii="Arial" w:hAnsi="Arial" w:cs="Arial"/>
          <w:lang w:val="pt-BR"/>
        </w:rPr>
        <w:t xml:space="preserve"> pode</w:t>
      </w:r>
      <w:r w:rsidR="0060608C" w:rsidRPr="00F072BB">
        <w:rPr>
          <w:rFonts w:ascii="Arial" w:hAnsi="Arial" w:cs="Arial"/>
          <w:lang w:val="pt-BR"/>
        </w:rPr>
        <w:t>m</w:t>
      </w:r>
      <w:r w:rsidR="008E7BD4" w:rsidRPr="00F072BB">
        <w:rPr>
          <w:rFonts w:ascii="Arial" w:hAnsi="Arial" w:cs="Arial"/>
          <w:lang w:val="pt-BR"/>
        </w:rPr>
        <w:t xml:space="preserve"> ser fornecida</w:t>
      </w:r>
      <w:r w:rsidR="0060608C" w:rsidRPr="00F072BB">
        <w:rPr>
          <w:rFonts w:ascii="Arial" w:hAnsi="Arial" w:cs="Arial"/>
          <w:lang w:val="pt-BR"/>
        </w:rPr>
        <w:t>s</w:t>
      </w:r>
      <w:r w:rsidR="008E7BD4" w:rsidRPr="00F072BB">
        <w:rPr>
          <w:rFonts w:ascii="Arial" w:hAnsi="Arial" w:cs="Arial"/>
          <w:lang w:val="pt-BR"/>
        </w:rPr>
        <w:t xml:space="preserve"> </w:t>
      </w:r>
      <w:r w:rsidR="0060608C" w:rsidRPr="00F072BB">
        <w:rPr>
          <w:rFonts w:ascii="Arial" w:hAnsi="Arial" w:cs="Arial"/>
          <w:lang w:val="pt-BR"/>
        </w:rPr>
        <w:t>diretamente pel</w:t>
      </w:r>
      <w:r w:rsidR="00441EF0" w:rsidRPr="00F072BB">
        <w:rPr>
          <w:rFonts w:ascii="Arial" w:hAnsi="Arial" w:cs="Arial"/>
          <w:lang w:val="pt-BR"/>
        </w:rPr>
        <w:t>a</w:t>
      </w:r>
      <w:r w:rsidR="00330519" w:rsidRPr="00F072BB">
        <w:rPr>
          <w:rFonts w:ascii="Arial" w:hAnsi="Arial" w:cs="Arial"/>
          <w:lang w:val="pt-BR"/>
        </w:rPr>
        <w:t>s</w:t>
      </w:r>
      <w:r w:rsidR="008E7BD4" w:rsidRPr="00F072BB">
        <w:rPr>
          <w:rFonts w:ascii="Arial" w:hAnsi="Arial" w:cs="Arial"/>
          <w:lang w:val="pt-BR"/>
        </w:rPr>
        <w:t xml:space="preserve"> </w:t>
      </w:r>
      <w:r w:rsidR="0060608C" w:rsidRPr="00F072BB">
        <w:rPr>
          <w:rFonts w:ascii="Arial" w:hAnsi="Arial" w:cs="Arial"/>
          <w:lang w:val="pt-BR"/>
        </w:rPr>
        <w:t>pessoas interessadas</w:t>
      </w:r>
      <w:r w:rsidR="00330519" w:rsidRPr="00F072BB">
        <w:rPr>
          <w:rFonts w:ascii="Arial" w:hAnsi="Arial" w:cs="Arial"/>
          <w:lang w:val="pt-BR"/>
        </w:rPr>
        <w:t xml:space="preserve"> </w:t>
      </w:r>
      <w:r w:rsidR="008E7BD4" w:rsidRPr="00F072BB">
        <w:rPr>
          <w:rFonts w:ascii="Arial" w:hAnsi="Arial" w:cs="Arial"/>
          <w:lang w:val="pt-BR"/>
        </w:rPr>
        <w:t xml:space="preserve">ou de forma coletiva por </w:t>
      </w:r>
      <w:r w:rsidR="0060608C" w:rsidRPr="00F072BB">
        <w:rPr>
          <w:rFonts w:ascii="Arial" w:hAnsi="Arial" w:cs="Arial"/>
          <w:lang w:val="pt-BR"/>
        </w:rPr>
        <w:t xml:space="preserve">meio de entidades </w:t>
      </w:r>
      <w:r w:rsidR="00BB1ACE" w:rsidRPr="00F072BB">
        <w:rPr>
          <w:rFonts w:ascii="Arial" w:hAnsi="Arial" w:cs="Arial"/>
          <w:lang w:val="pt-BR"/>
        </w:rPr>
        <w:t>empresariais</w:t>
      </w:r>
      <w:r w:rsidR="0060608C" w:rsidRPr="00F072BB">
        <w:rPr>
          <w:rFonts w:ascii="Arial" w:hAnsi="Arial" w:cs="Arial"/>
          <w:lang w:val="pt-BR"/>
        </w:rPr>
        <w:t xml:space="preserve">, </w:t>
      </w:r>
      <w:r w:rsidR="008E7BD4" w:rsidRPr="00F072BB">
        <w:rPr>
          <w:rFonts w:ascii="Arial" w:hAnsi="Arial" w:cs="Arial"/>
          <w:lang w:val="pt-BR"/>
        </w:rPr>
        <w:t>ou</w:t>
      </w:r>
      <w:r w:rsidR="0060608C" w:rsidRPr="00F072BB">
        <w:rPr>
          <w:rFonts w:ascii="Arial" w:hAnsi="Arial" w:cs="Arial"/>
          <w:lang w:val="pt-BR"/>
        </w:rPr>
        <w:t xml:space="preserve"> ainda</w:t>
      </w:r>
      <w:r w:rsidR="008E7BD4" w:rsidRPr="00F072BB">
        <w:rPr>
          <w:rFonts w:ascii="Arial" w:hAnsi="Arial" w:cs="Arial"/>
          <w:lang w:val="pt-BR"/>
        </w:rPr>
        <w:t xml:space="preserve"> por </w:t>
      </w:r>
      <w:r w:rsidR="00BB1ACE" w:rsidRPr="00F072BB">
        <w:rPr>
          <w:rFonts w:ascii="Arial" w:hAnsi="Arial" w:cs="Arial"/>
          <w:lang w:val="pt-BR"/>
        </w:rPr>
        <w:t xml:space="preserve">empresas </w:t>
      </w:r>
      <w:r w:rsidR="008E7BD4" w:rsidRPr="00F072BB">
        <w:rPr>
          <w:rFonts w:ascii="Arial" w:hAnsi="Arial" w:cs="Arial"/>
          <w:lang w:val="pt-BR"/>
        </w:rPr>
        <w:t>de consultoria. Se você deseja obter mais informações ou discutir questões importantes, não hesite em contatar</w:t>
      </w:r>
      <w:r w:rsidR="00F072BB">
        <w:rPr>
          <w:rFonts w:ascii="Arial" w:hAnsi="Arial" w:cs="Arial"/>
          <w:lang w:val="pt-BR"/>
        </w:rPr>
        <w:t xml:space="preserve"> </w:t>
      </w:r>
      <w:hyperlink r:id="rId18" w:history="1">
        <w:r w:rsidR="00F072BB" w:rsidRPr="0012334B">
          <w:rPr>
            <w:rStyle w:val="Hyperlink"/>
            <w:rFonts w:ascii="Arial" w:hAnsi="Arial" w:cs="Arial"/>
            <w:lang w:val="pt-BR"/>
          </w:rPr>
          <w:t>TP.Brazil@oecd.org</w:t>
        </w:r>
      </w:hyperlink>
      <w:r w:rsidR="00F072BB">
        <w:rPr>
          <w:rFonts w:ascii="Arial" w:hAnsi="Arial" w:cs="Arial"/>
          <w:lang w:val="pt-BR"/>
        </w:rPr>
        <w:t xml:space="preserve"> e </w:t>
      </w:r>
      <w:hyperlink r:id="rId19" w:history="1">
        <w:r w:rsidR="00F072BB" w:rsidRPr="0012334B">
          <w:rPr>
            <w:rStyle w:val="Hyperlink"/>
            <w:rFonts w:ascii="Arial" w:hAnsi="Arial" w:cs="Arial"/>
            <w:lang w:val="pt-BR"/>
          </w:rPr>
          <w:t>Cotin.df.cosit@rfb.gov.br</w:t>
        </w:r>
      </w:hyperlink>
      <w:r w:rsidR="00F072BB">
        <w:rPr>
          <w:rFonts w:ascii="Arial" w:hAnsi="Arial" w:cs="Arial"/>
          <w:lang w:val="pt-BR"/>
        </w:rPr>
        <w:t>.</w:t>
      </w:r>
    </w:p>
    <w:p w14:paraId="2176C4B5" w14:textId="5B3B96D8" w:rsidR="008E7BD4" w:rsidRPr="00F072BB" w:rsidRDefault="008E7BD4" w:rsidP="00B57F2F">
      <w:pPr>
        <w:pStyle w:val="Num-DocParagraph"/>
        <w:spacing w:after="120"/>
        <w:rPr>
          <w:rFonts w:ascii="Arial" w:hAnsi="Arial" w:cs="Arial"/>
          <w:lang w:val="pt-BR"/>
        </w:rPr>
      </w:pPr>
      <w:r w:rsidRPr="00F072BB">
        <w:rPr>
          <w:rFonts w:ascii="Arial" w:hAnsi="Arial" w:cs="Arial"/>
          <w:lang w:val="pt-BR"/>
        </w:rPr>
        <w:t>Envie sua resposta por e-mai</w:t>
      </w:r>
      <w:r w:rsidR="00B3589F">
        <w:rPr>
          <w:rFonts w:ascii="Arial" w:hAnsi="Arial" w:cs="Arial"/>
          <w:lang w:val="pt-BR"/>
        </w:rPr>
        <w:t xml:space="preserve">l para o seguinte endereço até </w:t>
      </w:r>
      <w:r w:rsidR="008C1CB9" w:rsidRPr="00B3589F">
        <w:rPr>
          <w:rFonts w:ascii="Arial" w:hAnsi="Arial" w:cs="Arial"/>
          <w:b/>
          <w:lang w:val="pt-BR"/>
        </w:rPr>
        <w:t>18 de Setembro</w:t>
      </w:r>
      <w:r w:rsidR="008C1CB9" w:rsidRPr="00F072BB">
        <w:rPr>
          <w:rFonts w:ascii="Arial" w:hAnsi="Arial" w:cs="Arial"/>
          <w:lang w:val="pt-BR"/>
        </w:rPr>
        <w:t xml:space="preserve"> - sexta-feira</w:t>
      </w:r>
      <w:r w:rsidRPr="00F072BB">
        <w:rPr>
          <w:rFonts w:ascii="Arial" w:hAnsi="Arial" w:cs="Arial"/>
          <w:lang w:val="pt-BR"/>
        </w:rPr>
        <w:t>:</w:t>
      </w:r>
    </w:p>
    <w:p w14:paraId="5FF01B3E" w14:textId="17789CF6" w:rsidR="00F072BB" w:rsidRPr="00B57F2F" w:rsidRDefault="008E7BD4" w:rsidP="00B57F2F">
      <w:pPr>
        <w:pStyle w:val="Num-DocParagraph"/>
        <w:spacing w:after="360"/>
        <w:ind w:left="720"/>
        <w:rPr>
          <w:rFonts w:ascii="Arial" w:hAnsi="Arial" w:cs="Arial"/>
          <w:lang w:val="pt-BR"/>
        </w:rPr>
      </w:pPr>
      <w:r w:rsidRPr="00F072BB">
        <w:rPr>
          <w:rFonts w:ascii="Arial" w:hAnsi="Arial" w:cs="Arial"/>
          <w:lang w:val="pt-BR"/>
        </w:rPr>
        <w:t xml:space="preserve">E-mail: </w:t>
      </w:r>
      <w:hyperlink r:id="rId20" w:history="1">
        <w:r w:rsidR="00AB532C" w:rsidRPr="0012334B">
          <w:rPr>
            <w:rStyle w:val="Hyperlink"/>
            <w:rFonts w:ascii="Arial" w:hAnsi="Arial" w:cs="Arial"/>
            <w:lang w:val="pt-BR"/>
          </w:rPr>
          <w:t>TP.Brazil@oecd.org</w:t>
        </w:r>
      </w:hyperlink>
      <w:r w:rsidR="00AB532C">
        <w:rPr>
          <w:rFonts w:ascii="Arial" w:hAnsi="Arial" w:cs="Arial"/>
          <w:lang w:val="pt-BR"/>
        </w:rPr>
        <w:t xml:space="preserve"> </w:t>
      </w:r>
      <w:r w:rsidR="00F072BB">
        <w:rPr>
          <w:rFonts w:ascii="Arial" w:hAnsi="Arial" w:cs="Arial"/>
          <w:lang w:val="pt-BR"/>
        </w:rPr>
        <w:t xml:space="preserve">e copiado para </w:t>
      </w:r>
      <w:hyperlink r:id="rId21" w:history="1">
        <w:r w:rsidR="00F072BB" w:rsidRPr="0012334B">
          <w:rPr>
            <w:rStyle w:val="Hyperlink"/>
            <w:rFonts w:ascii="Arial" w:hAnsi="Arial" w:cs="Arial"/>
            <w:lang w:val="pt-BR"/>
          </w:rPr>
          <w:t>Cotin.df.cosit@rfb.gov.br</w:t>
        </w:r>
      </w:hyperlink>
    </w:p>
    <w:p w14:paraId="792E98A0" w14:textId="0C923461" w:rsidR="00B341D6" w:rsidRPr="00F072BB" w:rsidRDefault="008E7BD4" w:rsidP="00B57F2F">
      <w:pPr>
        <w:tabs>
          <w:tab w:val="clear" w:pos="850"/>
          <w:tab w:val="clear" w:pos="1191"/>
          <w:tab w:val="clear" w:pos="1531"/>
        </w:tabs>
        <w:spacing w:after="200" w:line="259" w:lineRule="auto"/>
        <w:jc w:val="center"/>
        <w:rPr>
          <w:rFonts w:ascii="Arial" w:hAnsi="Arial" w:cs="Arial"/>
          <w:sz w:val="24"/>
          <w:lang w:val="pt-BR"/>
        </w:rPr>
      </w:pPr>
      <w:r w:rsidRPr="00F072BB">
        <w:rPr>
          <w:rFonts w:ascii="Arial" w:hAnsi="Arial" w:cs="Arial"/>
          <w:b/>
          <w:sz w:val="24"/>
          <w:lang w:val="pt-BR"/>
        </w:rPr>
        <w:t>NOTA INTRODUTÓRIA</w:t>
      </w:r>
    </w:p>
    <w:p w14:paraId="2B204226" w14:textId="449822D9" w:rsidR="00283ABA" w:rsidRPr="00F072BB" w:rsidRDefault="00A060A5" w:rsidP="00B76566">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6.</w:instrText>
      </w:r>
      <w:r w:rsidRPr="00F072BB">
        <w:rPr>
          <w:rFonts w:ascii="Arial" w:hAnsi="Arial" w:cs="Arial"/>
          <w:lang w:val="pt-BR"/>
        </w:rPr>
        <w:tab/>
      </w:r>
      <w:r w:rsidRPr="00F072BB">
        <w:rPr>
          <w:rFonts w:ascii="Arial" w:hAnsi="Arial" w:cs="Arial"/>
        </w:rPr>
        <w:fldChar w:fldCharType="end"/>
      </w:r>
      <w:r w:rsidR="008E7BD4" w:rsidRPr="00F072BB">
        <w:rPr>
          <w:rFonts w:ascii="Arial" w:hAnsi="Arial" w:cs="Arial"/>
          <w:lang w:val="pt-BR"/>
        </w:rPr>
        <w:t xml:space="preserve">As regras de preços de transferência com base no princípio </w:t>
      </w:r>
      <w:r w:rsidR="008E7BD4" w:rsidRPr="00F072BB">
        <w:rPr>
          <w:rFonts w:ascii="Arial" w:hAnsi="Arial" w:cs="Arial"/>
          <w:i/>
          <w:lang w:val="pt-BR"/>
        </w:rPr>
        <w:t>arm’s length</w:t>
      </w:r>
      <w:r w:rsidR="008E7BD4" w:rsidRPr="00F072BB">
        <w:rPr>
          <w:rFonts w:ascii="Arial" w:hAnsi="Arial" w:cs="Arial"/>
          <w:lang w:val="pt-BR"/>
        </w:rPr>
        <w:t xml:space="preserve"> exigem a realização de uma análise de comparabilidade que </w:t>
      </w:r>
      <w:r w:rsidR="00334077" w:rsidRPr="00F072BB">
        <w:rPr>
          <w:rFonts w:ascii="Arial" w:hAnsi="Arial" w:cs="Arial"/>
          <w:lang w:val="pt-BR"/>
        </w:rPr>
        <w:t xml:space="preserve">envolve </w:t>
      </w:r>
      <w:r w:rsidR="008E7BD4" w:rsidRPr="00F072BB">
        <w:rPr>
          <w:rFonts w:ascii="Arial" w:hAnsi="Arial" w:cs="Arial"/>
          <w:lang w:val="pt-BR"/>
        </w:rPr>
        <w:t>à identificação de comparáveis ​​confiáveis</w:t>
      </w:r>
      <w:r w:rsidR="00DA38B4" w:rsidRPr="00F072BB">
        <w:rPr>
          <w:rFonts w:ascii="Arial" w:hAnsi="Arial" w:cs="Arial"/>
          <w:lang w:val="pt-BR"/>
        </w:rPr>
        <w:t xml:space="preserve"> de transações não controladas</w:t>
      </w:r>
      <w:r w:rsidR="008E7BD4" w:rsidRPr="00F072BB">
        <w:rPr>
          <w:rFonts w:ascii="Arial" w:hAnsi="Arial" w:cs="Arial"/>
          <w:lang w:val="pt-BR"/>
        </w:rPr>
        <w:t>. O processo típico para identificar as relações comerciais ou financeiras entre as empresas associadas</w:t>
      </w:r>
      <w:r w:rsidR="000229D5" w:rsidRPr="00F072BB">
        <w:rPr>
          <w:rFonts w:ascii="Arial" w:hAnsi="Arial" w:cs="Arial"/>
          <w:lang w:val="pt-BR"/>
        </w:rPr>
        <w:t>,</w:t>
      </w:r>
      <w:r w:rsidR="008E7BD4" w:rsidRPr="00F072BB">
        <w:rPr>
          <w:rFonts w:ascii="Arial" w:hAnsi="Arial" w:cs="Arial"/>
          <w:lang w:val="pt-BR"/>
        </w:rPr>
        <w:t xml:space="preserve"> e para identificar as condições e as circunstâncias economicamente relevantes relacionadas a essas relações</w:t>
      </w:r>
      <w:r w:rsidR="000229D5" w:rsidRPr="00F072BB">
        <w:rPr>
          <w:rFonts w:ascii="Arial" w:hAnsi="Arial" w:cs="Arial"/>
          <w:lang w:val="pt-BR"/>
        </w:rPr>
        <w:t>,</w:t>
      </w:r>
      <w:r w:rsidR="008E7BD4" w:rsidRPr="00F072BB">
        <w:rPr>
          <w:rFonts w:ascii="Arial" w:hAnsi="Arial" w:cs="Arial"/>
          <w:lang w:val="pt-BR"/>
        </w:rPr>
        <w:t xml:space="preserve"> exige uma compreensão ampla do setor industrial em que a empresa multinacional opera, bem como dos fatores </w:t>
      </w:r>
      <w:r w:rsidR="000229D5" w:rsidRPr="00F072BB">
        <w:rPr>
          <w:rFonts w:ascii="Arial" w:hAnsi="Arial" w:cs="Arial"/>
          <w:lang w:val="pt-BR"/>
        </w:rPr>
        <w:t xml:space="preserve">que afetam </w:t>
      </w:r>
      <w:r w:rsidR="008E7BD4" w:rsidRPr="00F072BB">
        <w:rPr>
          <w:rFonts w:ascii="Arial" w:hAnsi="Arial" w:cs="Arial"/>
          <w:lang w:val="pt-BR"/>
        </w:rPr>
        <w:t>o desempenho dos negócios nesse setor. Mais precisamente, as características economicamente relevantes ou os fatores de comparabilidade que precisam ser identificados nas relações comerciais ou financeiras entre empresas associadas, a fim de delinear com precisão a transação real, podem ser categorizados da seguinte maneira: (i) os termos contratuais da transação; (ii) as funções desempenhadas por cada uma das partes na transação, levando em consideração os ativos utilizados e os riscos assumidos, incluindo como essas funções se relacionam com a geração mais ampla de valor pelo grupo de empresas multinacionais a que as partes pertencem, as circunstâncias que envolvem a transação e práticas da indústria; (iii) as características dos bens transferidos ou dos serviços prestados; (iv) as circunstâncias econômicas das partes e do mercado em que as partes operam; e (v) as estratégias de negócios adotadas pelas partes</w:t>
      </w:r>
      <w:r w:rsidR="000229D5" w:rsidRPr="00F072BB">
        <w:rPr>
          <w:rFonts w:ascii="Arial" w:hAnsi="Arial" w:cs="Arial"/>
          <w:lang w:val="pt-BR"/>
        </w:rPr>
        <w:t>.</w:t>
      </w:r>
    </w:p>
    <w:p w14:paraId="38DA23B2" w14:textId="493DF926" w:rsidR="008E7BD4" w:rsidRPr="00F072BB" w:rsidRDefault="00A060A5" w:rsidP="00B76566">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7.</w:instrText>
      </w:r>
      <w:r w:rsidRPr="00F072BB">
        <w:rPr>
          <w:rFonts w:ascii="Arial" w:hAnsi="Arial" w:cs="Arial"/>
          <w:lang w:val="pt-BR"/>
        </w:rPr>
        <w:tab/>
      </w:r>
      <w:r w:rsidRPr="00F072BB">
        <w:rPr>
          <w:rFonts w:ascii="Arial" w:hAnsi="Arial" w:cs="Arial"/>
        </w:rPr>
        <w:fldChar w:fldCharType="end"/>
      </w:r>
      <w:r w:rsidR="008E7BD4" w:rsidRPr="00F072BB">
        <w:rPr>
          <w:rFonts w:ascii="Arial" w:hAnsi="Arial" w:cs="Arial"/>
          <w:lang w:val="pt-BR"/>
        </w:rPr>
        <w:t>Quando os contribuintes precisam realizar a análise de comparabilidade, eles podem encontrar vários desafios que podem gerar incertezas e possíveis disputas com a administração tributária de uma ou mais jurisdições. Esses desafios podem ser ampliados ainda mais nos casos em que há uma falta de dados comparáveis internos e também uma falta de dados comparáveis externos não</w:t>
      </w:r>
      <w:r w:rsidR="00E45CEE" w:rsidRPr="00F072BB">
        <w:rPr>
          <w:rFonts w:ascii="Arial" w:hAnsi="Arial" w:cs="Arial"/>
          <w:lang w:val="pt-BR"/>
        </w:rPr>
        <w:t xml:space="preserve"> disponíveis publicamente</w:t>
      </w:r>
      <w:r w:rsidR="008E7BD4" w:rsidRPr="00F072BB">
        <w:rPr>
          <w:rFonts w:ascii="Arial" w:hAnsi="Arial" w:cs="Arial"/>
          <w:lang w:val="pt-BR"/>
        </w:rPr>
        <w:t>.</w:t>
      </w:r>
    </w:p>
    <w:p w14:paraId="3B784155" w14:textId="17995DA8" w:rsidR="008E7BD4" w:rsidRPr="00F072BB" w:rsidRDefault="00A060A5" w:rsidP="00184294">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8.</w:instrText>
      </w:r>
      <w:r w:rsidRPr="00F072BB">
        <w:rPr>
          <w:rFonts w:ascii="Arial" w:hAnsi="Arial" w:cs="Arial"/>
          <w:lang w:val="pt-BR"/>
        </w:rPr>
        <w:tab/>
      </w:r>
      <w:r w:rsidRPr="00F072BB">
        <w:rPr>
          <w:rFonts w:ascii="Arial" w:hAnsi="Arial" w:cs="Arial"/>
        </w:rPr>
        <w:fldChar w:fldCharType="end"/>
      </w:r>
      <w:r w:rsidR="008E7BD4" w:rsidRPr="00F072BB">
        <w:rPr>
          <w:rFonts w:ascii="Arial" w:hAnsi="Arial" w:cs="Arial"/>
          <w:lang w:val="pt-BR"/>
        </w:rPr>
        <w:t>Para enfrentar e superar alguns desses desafios, as Diretrizes de Preços de Transferência da OCDE</w:t>
      </w:r>
      <w:r w:rsidR="00B019DC" w:rsidRPr="00F072BB">
        <w:rPr>
          <w:rStyle w:val="FootnoteReference"/>
          <w:rFonts w:ascii="Arial" w:hAnsi="Arial" w:cs="Arial"/>
          <w:lang w:val="pt-BR"/>
        </w:rPr>
        <w:footnoteReference w:id="2"/>
      </w:r>
      <w:r w:rsidR="00743408" w:rsidRPr="00F072BB">
        <w:rPr>
          <w:rFonts w:ascii="Arial" w:hAnsi="Arial" w:cs="Arial"/>
          <w:lang w:val="pt-BR"/>
        </w:rPr>
        <w:t xml:space="preserve"> prevê várias medidas</w:t>
      </w:r>
      <w:r w:rsidR="008E7BD4" w:rsidRPr="00F072BB">
        <w:rPr>
          <w:rFonts w:ascii="Arial" w:hAnsi="Arial" w:cs="Arial"/>
          <w:lang w:val="pt-BR"/>
        </w:rPr>
        <w:t xml:space="preserve">, que, se adequadamente projetadas, podem contribuir para a segurança </w:t>
      </w:r>
      <w:r w:rsidR="00743408" w:rsidRPr="00F072BB">
        <w:rPr>
          <w:rFonts w:ascii="Arial" w:hAnsi="Arial" w:cs="Arial"/>
          <w:lang w:val="pt-BR"/>
        </w:rPr>
        <w:t xml:space="preserve">jurídica em matéria </w:t>
      </w:r>
      <w:r w:rsidR="008E7BD4" w:rsidRPr="00F072BB">
        <w:rPr>
          <w:rFonts w:ascii="Arial" w:hAnsi="Arial" w:cs="Arial"/>
          <w:lang w:val="pt-BR"/>
        </w:rPr>
        <w:t xml:space="preserve">tributária, sem comprometer a consecução do duplo objetivo das regras de preços de transferência, que é garantir a base tributária </w:t>
      </w:r>
      <w:r w:rsidR="008E7BD4" w:rsidRPr="00F072BB">
        <w:rPr>
          <w:rFonts w:ascii="Arial" w:hAnsi="Arial" w:cs="Arial"/>
          <w:lang w:val="pt-BR"/>
        </w:rPr>
        <w:lastRenderedPageBreak/>
        <w:t xml:space="preserve">adequada em cada jurisdição e evitar dupla tributação. Tais medidas podem incluir </w:t>
      </w:r>
      <w:r w:rsidR="00B00958" w:rsidRPr="00F072BB">
        <w:rPr>
          <w:rFonts w:ascii="Arial" w:hAnsi="Arial" w:cs="Arial"/>
          <w:lang w:val="pt-BR"/>
        </w:rPr>
        <w:t xml:space="preserve">regras </w:t>
      </w:r>
      <w:r w:rsidR="008E7BD4" w:rsidRPr="00F072BB">
        <w:rPr>
          <w:rFonts w:ascii="Arial" w:hAnsi="Arial" w:cs="Arial"/>
          <w:lang w:val="pt-BR"/>
        </w:rPr>
        <w:t xml:space="preserve">de </w:t>
      </w:r>
      <w:r w:rsidR="00743408" w:rsidRPr="00F072BB">
        <w:rPr>
          <w:rFonts w:ascii="Arial" w:hAnsi="Arial" w:cs="Arial"/>
          <w:i/>
          <w:lang w:val="pt-BR"/>
        </w:rPr>
        <w:t>safe harbour</w:t>
      </w:r>
      <w:r w:rsidR="008E7BD4" w:rsidRPr="00F072BB">
        <w:rPr>
          <w:rFonts w:ascii="Arial" w:hAnsi="Arial" w:cs="Arial"/>
          <w:lang w:val="pt-BR"/>
        </w:rPr>
        <w:t xml:space="preserve">, presunções </w:t>
      </w:r>
      <w:r w:rsidR="00B00958" w:rsidRPr="00F072BB">
        <w:rPr>
          <w:rFonts w:ascii="Arial" w:hAnsi="Arial" w:cs="Arial"/>
          <w:lang w:val="pt-BR"/>
        </w:rPr>
        <w:t xml:space="preserve">relativas </w:t>
      </w:r>
      <w:r w:rsidR="008E7BD4" w:rsidRPr="00F072BB">
        <w:rPr>
          <w:rFonts w:ascii="Arial" w:hAnsi="Arial" w:cs="Arial"/>
          <w:lang w:val="pt-BR"/>
        </w:rPr>
        <w:t xml:space="preserve">e acordos </w:t>
      </w:r>
      <w:r w:rsidR="00FB20A4" w:rsidRPr="00F072BB">
        <w:rPr>
          <w:rFonts w:ascii="Arial" w:hAnsi="Arial" w:cs="Arial"/>
          <w:lang w:val="pt-BR"/>
        </w:rPr>
        <w:t>antecipados</w:t>
      </w:r>
      <w:r w:rsidR="008E7BD4" w:rsidRPr="00F072BB">
        <w:rPr>
          <w:rFonts w:ascii="Arial" w:hAnsi="Arial" w:cs="Arial"/>
          <w:lang w:val="pt-BR"/>
        </w:rPr>
        <w:t xml:space="preserve"> de preços (APAs).</w:t>
      </w:r>
    </w:p>
    <w:p w14:paraId="139B85FE" w14:textId="049DF0C9" w:rsidR="001A13FB" w:rsidRPr="00F072BB" w:rsidRDefault="00A060A5" w:rsidP="00B76566">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9.</w:instrText>
      </w:r>
      <w:r w:rsidRPr="00F072BB">
        <w:rPr>
          <w:rFonts w:ascii="Arial" w:hAnsi="Arial" w:cs="Arial"/>
          <w:lang w:val="pt-BR"/>
        </w:rPr>
        <w:tab/>
      </w:r>
      <w:r w:rsidRPr="00F072BB">
        <w:rPr>
          <w:rFonts w:ascii="Arial" w:hAnsi="Arial" w:cs="Arial"/>
        </w:rPr>
        <w:fldChar w:fldCharType="end"/>
      </w:r>
      <w:r w:rsidR="00A946F5" w:rsidRPr="00F072BB">
        <w:rPr>
          <w:rFonts w:ascii="Arial" w:hAnsi="Arial" w:cs="Arial"/>
          <w:lang w:val="pt-BR"/>
        </w:rPr>
        <w:t xml:space="preserve">Um </w:t>
      </w:r>
      <w:r w:rsidR="00A946F5" w:rsidRPr="00F072BB">
        <w:rPr>
          <w:rFonts w:ascii="Arial" w:hAnsi="Arial" w:cs="Arial"/>
          <w:i/>
          <w:lang w:val="pt-BR"/>
        </w:rPr>
        <w:t>s</w:t>
      </w:r>
      <w:r w:rsidR="00B76566" w:rsidRPr="00F072BB">
        <w:rPr>
          <w:rFonts w:ascii="Arial" w:hAnsi="Arial" w:cs="Arial"/>
          <w:i/>
          <w:lang w:val="pt-BR"/>
        </w:rPr>
        <w:t>afe harbour</w:t>
      </w:r>
      <w:r w:rsidR="00B76566" w:rsidRPr="00F072BB">
        <w:rPr>
          <w:rFonts w:ascii="Arial" w:hAnsi="Arial" w:cs="Arial"/>
          <w:lang w:val="pt-BR"/>
        </w:rPr>
        <w:t xml:space="preserve"> </w:t>
      </w:r>
      <w:r w:rsidR="001A13FB" w:rsidRPr="00F072BB">
        <w:rPr>
          <w:rFonts w:ascii="Arial" w:hAnsi="Arial" w:cs="Arial"/>
          <w:lang w:val="pt-BR"/>
        </w:rPr>
        <w:t xml:space="preserve">em um regime de preços de transferência é uma disposição que se aplica a uma categoria definida de contribuintes ou transações e isenta os contribuintes elegíveis de certas obrigações impostas pelas regras gerais de preços de transferência de um país. O objetivo </w:t>
      </w:r>
      <w:r w:rsidR="00FB20A4" w:rsidRPr="00F072BB">
        <w:rPr>
          <w:rFonts w:ascii="Arial" w:hAnsi="Arial" w:cs="Arial"/>
          <w:lang w:val="pt-BR"/>
        </w:rPr>
        <w:t xml:space="preserve">dos </w:t>
      </w:r>
      <w:r w:rsidR="00FB20A4" w:rsidRPr="00F072BB">
        <w:rPr>
          <w:rFonts w:ascii="Arial" w:hAnsi="Arial" w:cs="Arial"/>
          <w:i/>
          <w:lang w:val="pt-BR"/>
        </w:rPr>
        <w:t>safe harbours</w:t>
      </w:r>
      <w:r w:rsidR="001A13FB" w:rsidRPr="00F072BB">
        <w:rPr>
          <w:rFonts w:ascii="Arial" w:hAnsi="Arial" w:cs="Arial"/>
          <w:lang w:val="pt-BR"/>
        </w:rPr>
        <w:t xml:space="preserve"> é </w:t>
      </w:r>
      <w:r w:rsidR="00A946F5" w:rsidRPr="00F072BB">
        <w:rPr>
          <w:rFonts w:ascii="Arial" w:hAnsi="Arial" w:cs="Arial"/>
          <w:lang w:val="pt-BR"/>
        </w:rPr>
        <w:t>permitir</w:t>
      </w:r>
      <w:r w:rsidR="001A13FB" w:rsidRPr="00F072BB">
        <w:rPr>
          <w:rFonts w:ascii="Arial" w:hAnsi="Arial" w:cs="Arial"/>
          <w:lang w:val="pt-BR"/>
        </w:rPr>
        <w:t xml:space="preserve"> abordagens simplificadas para determinar ou aproximar o preço </w:t>
      </w:r>
      <w:r w:rsidR="00FB20A4" w:rsidRPr="00F072BB">
        <w:rPr>
          <w:rFonts w:ascii="Arial" w:hAnsi="Arial" w:cs="Arial"/>
          <w:i/>
          <w:lang w:val="pt-BR"/>
        </w:rPr>
        <w:t>arm’s length</w:t>
      </w:r>
      <w:r w:rsidR="001A13FB" w:rsidRPr="00F072BB">
        <w:rPr>
          <w:rFonts w:ascii="Arial" w:hAnsi="Arial" w:cs="Arial"/>
          <w:lang w:val="pt-BR"/>
        </w:rPr>
        <w:t xml:space="preserve">, </w:t>
      </w:r>
      <w:r w:rsidR="00F6360D" w:rsidRPr="00F072BB">
        <w:rPr>
          <w:rFonts w:ascii="Arial" w:hAnsi="Arial" w:cs="Arial"/>
          <w:lang w:val="pt-BR"/>
        </w:rPr>
        <w:t>ou fornecer orientação simplificada em relação à conformidade tributária de processos complexos e onerosos</w:t>
      </w:r>
      <w:r w:rsidR="00F6360D">
        <w:rPr>
          <w:rFonts w:ascii="Arial" w:hAnsi="Arial" w:cs="Arial"/>
          <w:lang w:val="pt-BR"/>
        </w:rPr>
        <w:t>,</w:t>
      </w:r>
      <w:r w:rsidR="00F6360D" w:rsidRPr="00F072BB">
        <w:rPr>
          <w:rFonts w:ascii="Arial" w:hAnsi="Arial" w:cs="Arial"/>
          <w:lang w:val="pt-BR"/>
        </w:rPr>
        <w:t xml:space="preserve"> </w:t>
      </w:r>
      <w:r w:rsidR="00FB20A4" w:rsidRPr="00F072BB">
        <w:rPr>
          <w:rFonts w:ascii="Arial" w:hAnsi="Arial" w:cs="Arial"/>
          <w:lang w:val="pt-BR"/>
        </w:rPr>
        <w:t xml:space="preserve">e </w:t>
      </w:r>
      <w:r w:rsidR="001A13FB" w:rsidRPr="00F072BB">
        <w:rPr>
          <w:rFonts w:ascii="Arial" w:hAnsi="Arial" w:cs="Arial"/>
          <w:lang w:val="pt-BR"/>
        </w:rPr>
        <w:t xml:space="preserve">assim, contribuir para </w:t>
      </w:r>
      <w:r w:rsidR="00FB20A4" w:rsidRPr="00F072BB">
        <w:rPr>
          <w:rFonts w:ascii="Arial" w:hAnsi="Arial" w:cs="Arial"/>
          <w:lang w:val="pt-BR"/>
        </w:rPr>
        <w:t>redução dos custos</w:t>
      </w:r>
      <w:r w:rsidR="001A13FB" w:rsidRPr="00F072BB">
        <w:rPr>
          <w:rFonts w:ascii="Arial" w:hAnsi="Arial" w:cs="Arial"/>
          <w:lang w:val="pt-BR"/>
        </w:rPr>
        <w:t xml:space="preserve"> </w:t>
      </w:r>
      <w:r w:rsidR="00FB20A4" w:rsidRPr="00F072BB">
        <w:rPr>
          <w:rFonts w:ascii="Arial" w:hAnsi="Arial" w:cs="Arial"/>
          <w:lang w:val="pt-BR"/>
        </w:rPr>
        <w:t xml:space="preserve">de </w:t>
      </w:r>
      <w:r w:rsidR="001A13FB" w:rsidRPr="00F072BB">
        <w:rPr>
          <w:rFonts w:ascii="Arial" w:hAnsi="Arial" w:cs="Arial"/>
          <w:lang w:val="pt-BR"/>
        </w:rPr>
        <w:t>conformidade tributária para os contribuintes, mas também para</w:t>
      </w:r>
      <w:r w:rsidR="00FB20A4" w:rsidRPr="00F072BB">
        <w:rPr>
          <w:rFonts w:ascii="Arial" w:hAnsi="Arial" w:cs="Arial"/>
          <w:lang w:val="pt-BR"/>
        </w:rPr>
        <w:t xml:space="preserve"> uma administração tributária mais eficiente e segurança jurídica em matéria tributária</w:t>
      </w:r>
      <w:r w:rsidR="001A13FB" w:rsidRPr="00F072BB">
        <w:rPr>
          <w:rFonts w:ascii="Arial" w:hAnsi="Arial" w:cs="Arial"/>
          <w:lang w:val="pt-BR"/>
        </w:rPr>
        <w:t>.</w:t>
      </w:r>
      <w:r w:rsidR="00D858D3" w:rsidRPr="00F072BB">
        <w:rPr>
          <w:rFonts w:ascii="Arial" w:hAnsi="Arial" w:cs="Arial"/>
          <w:lang w:val="pt-BR"/>
        </w:rPr>
        <w:t xml:space="preserve"> Um </w:t>
      </w:r>
      <w:r w:rsidR="00D858D3" w:rsidRPr="00F072BB">
        <w:rPr>
          <w:rFonts w:ascii="Arial" w:hAnsi="Arial" w:cs="Arial"/>
          <w:i/>
          <w:lang w:val="pt-BR"/>
        </w:rPr>
        <w:t>safe harbour</w:t>
      </w:r>
      <w:r w:rsidR="00D858D3" w:rsidRPr="00F072BB">
        <w:rPr>
          <w:rFonts w:ascii="Arial" w:hAnsi="Arial" w:cs="Arial"/>
          <w:lang w:val="pt-BR"/>
        </w:rPr>
        <w:t xml:space="preserve"> é</w:t>
      </w:r>
      <w:r w:rsidR="00CA2FD7" w:rsidRPr="00F072BB">
        <w:rPr>
          <w:rFonts w:ascii="Arial" w:hAnsi="Arial" w:cs="Arial"/>
          <w:lang w:val="pt-BR"/>
        </w:rPr>
        <w:t>,</w:t>
      </w:r>
      <w:r w:rsidR="00D858D3" w:rsidRPr="00F072BB">
        <w:rPr>
          <w:rFonts w:ascii="Arial" w:hAnsi="Arial" w:cs="Arial"/>
          <w:lang w:val="pt-BR"/>
        </w:rPr>
        <w:t xml:space="preserve"> geralmente</w:t>
      </w:r>
      <w:r w:rsidR="00CA2FD7" w:rsidRPr="00F072BB">
        <w:rPr>
          <w:rFonts w:ascii="Arial" w:hAnsi="Arial" w:cs="Arial"/>
          <w:lang w:val="pt-BR"/>
        </w:rPr>
        <w:t>,</w:t>
      </w:r>
      <w:r w:rsidR="00D858D3" w:rsidRPr="00F072BB">
        <w:rPr>
          <w:rFonts w:ascii="Arial" w:hAnsi="Arial" w:cs="Arial"/>
          <w:lang w:val="pt-BR"/>
        </w:rPr>
        <w:t xml:space="preserve"> um mecanismo eletivo, em que os contribuintes que atendem aos critérios de entrada podem </w:t>
      </w:r>
      <w:r w:rsidR="00C351E0" w:rsidRPr="00F072BB">
        <w:rPr>
          <w:rFonts w:ascii="Arial" w:hAnsi="Arial" w:cs="Arial"/>
          <w:lang w:val="pt-BR"/>
        </w:rPr>
        <w:t xml:space="preserve">optar pela aplicação das regras gerais de preços de transferência ou pelo regime de </w:t>
      </w:r>
      <w:r w:rsidR="00C351E0" w:rsidRPr="00F072BB">
        <w:rPr>
          <w:rFonts w:ascii="Arial" w:hAnsi="Arial" w:cs="Arial"/>
          <w:i/>
          <w:lang w:val="pt-BR"/>
        </w:rPr>
        <w:t>safe harbour</w:t>
      </w:r>
      <w:r w:rsidR="00D858D3" w:rsidRPr="00F072BB">
        <w:rPr>
          <w:rFonts w:ascii="Arial" w:hAnsi="Arial" w:cs="Arial"/>
          <w:lang w:val="pt-BR"/>
        </w:rPr>
        <w:t xml:space="preserve"> - caso em que </w:t>
      </w:r>
      <w:r w:rsidR="00C351E0" w:rsidRPr="00F072BB">
        <w:rPr>
          <w:rFonts w:ascii="Arial" w:hAnsi="Arial" w:cs="Arial"/>
          <w:lang w:val="pt-BR"/>
        </w:rPr>
        <w:t>poderão</w:t>
      </w:r>
      <w:r w:rsidR="00D858D3" w:rsidRPr="00F072BB">
        <w:rPr>
          <w:rFonts w:ascii="Arial" w:hAnsi="Arial" w:cs="Arial"/>
          <w:lang w:val="pt-BR"/>
        </w:rPr>
        <w:t xml:space="preserve"> </w:t>
      </w:r>
      <w:r w:rsidR="00D30E3F" w:rsidRPr="00F072BB">
        <w:rPr>
          <w:rFonts w:ascii="Arial" w:hAnsi="Arial" w:cs="Arial"/>
          <w:lang w:val="pt-BR"/>
        </w:rPr>
        <w:t xml:space="preserve">ser </w:t>
      </w:r>
      <w:r w:rsidR="00CA2FD7" w:rsidRPr="00F072BB">
        <w:rPr>
          <w:rFonts w:ascii="Arial" w:hAnsi="Arial" w:cs="Arial"/>
          <w:lang w:val="pt-BR"/>
        </w:rPr>
        <w:t>dispensados</w:t>
      </w:r>
      <w:r w:rsidR="00D858D3" w:rsidRPr="00F072BB">
        <w:rPr>
          <w:rFonts w:ascii="Arial" w:hAnsi="Arial" w:cs="Arial"/>
          <w:lang w:val="pt-BR"/>
        </w:rPr>
        <w:t xml:space="preserve"> da aplicação das regras gerais de preços de transferência</w:t>
      </w:r>
      <w:r w:rsidR="00D30E3F" w:rsidRPr="00F072BB">
        <w:rPr>
          <w:rFonts w:ascii="Arial" w:hAnsi="Arial" w:cs="Arial"/>
          <w:lang w:val="pt-BR"/>
        </w:rPr>
        <w:t xml:space="preserve"> </w:t>
      </w:r>
      <w:r w:rsidR="00C351E0" w:rsidRPr="00F072BB">
        <w:rPr>
          <w:rFonts w:ascii="Arial" w:hAnsi="Arial" w:cs="Arial"/>
          <w:lang w:val="pt-BR"/>
        </w:rPr>
        <w:t xml:space="preserve">com relação as operações acobertadas pelo regime de </w:t>
      </w:r>
      <w:r w:rsidR="00C351E0" w:rsidRPr="00F072BB">
        <w:rPr>
          <w:rFonts w:ascii="Arial" w:hAnsi="Arial" w:cs="Arial"/>
          <w:i/>
          <w:lang w:val="pt-BR"/>
        </w:rPr>
        <w:t>safe harbour</w:t>
      </w:r>
      <w:r w:rsidR="00D858D3" w:rsidRPr="00F072BB">
        <w:rPr>
          <w:rFonts w:ascii="Arial" w:hAnsi="Arial" w:cs="Arial"/>
          <w:lang w:val="pt-BR"/>
        </w:rPr>
        <w:t>.</w:t>
      </w:r>
      <w:r w:rsidR="00D858D3" w:rsidRPr="00F072BB">
        <w:rPr>
          <w:rStyle w:val="FootnoteReference"/>
          <w:rFonts w:ascii="Arial" w:hAnsi="Arial" w:cs="Arial"/>
          <w:lang w:val="pt-BR"/>
        </w:rPr>
        <w:footnoteReference w:id="3"/>
      </w:r>
    </w:p>
    <w:p w14:paraId="6110E2B6" w14:textId="4A4A7356" w:rsidR="001A13FB" w:rsidRPr="00F072BB" w:rsidRDefault="00A060A5" w:rsidP="00C71A19">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10.</w:instrText>
      </w:r>
      <w:r w:rsidRPr="00F072BB">
        <w:rPr>
          <w:rFonts w:ascii="Arial" w:hAnsi="Arial" w:cs="Arial"/>
          <w:lang w:val="pt-BR"/>
        </w:rPr>
        <w:tab/>
      </w:r>
      <w:r w:rsidRPr="00F072BB">
        <w:rPr>
          <w:rFonts w:ascii="Arial" w:hAnsi="Arial" w:cs="Arial"/>
        </w:rPr>
        <w:fldChar w:fldCharType="end"/>
      </w:r>
      <w:r w:rsidR="001A13FB" w:rsidRPr="00F072BB">
        <w:rPr>
          <w:rFonts w:ascii="Arial" w:hAnsi="Arial" w:cs="Arial"/>
          <w:lang w:val="pt-BR"/>
        </w:rPr>
        <w:t xml:space="preserve">As Diretrizes da </w:t>
      </w:r>
      <w:r w:rsidR="00FB20A4" w:rsidRPr="00F072BB">
        <w:rPr>
          <w:rFonts w:ascii="Arial" w:hAnsi="Arial" w:cs="Arial"/>
          <w:lang w:val="pt-BR"/>
        </w:rPr>
        <w:t>OCDE reconhecem os benefícios dos</w:t>
      </w:r>
      <w:r w:rsidR="001A13FB" w:rsidRPr="00F072BB">
        <w:rPr>
          <w:rFonts w:ascii="Arial" w:hAnsi="Arial" w:cs="Arial"/>
          <w:lang w:val="pt-BR"/>
        </w:rPr>
        <w:t xml:space="preserve"> </w:t>
      </w:r>
      <w:r w:rsidR="001A13FB" w:rsidRPr="00F072BB">
        <w:rPr>
          <w:rFonts w:ascii="Arial" w:hAnsi="Arial" w:cs="Arial"/>
          <w:i/>
          <w:lang w:val="pt-BR"/>
        </w:rPr>
        <w:t>safe harbours</w:t>
      </w:r>
      <w:r w:rsidR="001A13FB" w:rsidRPr="00F072BB">
        <w:rPr>
          <w:rFonts w:ascii="Arial" w:hAnsi="Arial" w:cs="Arial"/>
          <w:lang w:val="pt-BR"/>
        </w:rPr>
        <w:t xml:space="preserve"> </w:t>
      </w:r>
      <w:r w:rsidR="00574267" w:rsidRPr="00F072BB">
        <w:rPr>
          <w:rFonts w:ascii="Arial" w:hAnsi="Arial" w:cs="Arial"/>
          <w:lang w:val="pt-BR"/>
        </w:rPr>
        <w:t>adequadamente</w:t>
      </w:r>
      <w:r w:rsidR="001A13FB" w:rsidRPr="00F072BB">
        <w:rPr>
          <w:rFonts w:ascii="Arial" w:hAnsi="Arial" w:cs="Arial"/>
          <w:lang w:val="pt-BR"/>
        </w:rPr>
        <w:t xml:space="preserve"> projetados na Seção E do Capítulo IV,</w:t>
      </w:r>
      <w:r w:rsidR="00B019DC" w:rsidRPr="00F072BB">
        <w:rPr>
          <w:rStyle w:val="FootnoteReference"/>
          <w:rFonts w:ascii="Arial" w:hAnsi="Arial" w:cs="Arial"/>
          <w:lang w:val="pt-BR"/>
        </w:rPr>
        <w:footnoteReference w:id="4"/>
      </w:r>
      <w:r w:rsidR="001A13FB" w:rsidRPr="00F072BB">
        <w:rPr>
          <w:rFonts w:ascii="Arial" w:hAnsi="Arial" w:cs="Arial"/>
          <w:lang w:val="pt-BR"/>
        </w:rPr>
        <w:t xml:space="preserve"> conforme reproduzidos no </w:t>
      </w:r>
      <w:r w:rsidR="001A13FB" w:rsidRPr="00F072BB">
        <w:rPr>
          <w:rFonts w:ascii="Arial" w:hAnsi="Arial" w:cs="Arial"/>
          <w:b/>
          <w:lang w:val="pt-BR"/>
        </w:rPr>
        <w:t>anexo</w:t>
      </w:r>
      <w:r w:rsidR="001A13FB" w:rsidRPr="00F072BB">
        <w:rPr>
          <w:rFonts w:ascii="Arial" w:hAnsi="Arial" w:cs="Arial"/>
          <w:lang w:val="pt-BR"/>
        </w:rPr>
        <w:t xml:space="preserve"> a este documento. Essa orientação leva em conta tanto a experiência positiva com os regimes de </w:t>
      </w:r>
      <w:r w:rsidR="00574267" w:rsidRPr="00F072BB">
        <w:rPr>
          <w:rFonts w:ascii="Arial" w:hAnsi="Arial" w:cs="Arial"/>
          <w:i/>
          <w:lang w:val="pt-BR"/>
        </w:rPr>
        <w:t>safe harbour</w:t>
      </w:r>
      <w:r w:rsidR="001A13FB" w:rsidRPr="00F072BB">
        <w:rPr>
          <w:rFonts w:ascii="Arial" w:hAnsi="Arial" w:cs="Arial"/>
          <w:lang w:val="pt-BR"/>
        </w:rPr>
        <w:t xml:space="preserve"> quanto os desafios enfrentados por vários países e fornece a estrutura </w:t>
      </w:r>
      <w:r w:rsidR="00D834B9" w:rsidRPr="00F072BB">
        <w:rPr>
          <w:rFonts w:ascii="Arial" w:hAnsi="Arial" w:cs="Arial"/>
          <w:lang w:val="pt-BR"/>
        </w:rPr>
        <w:t>política</w:t>
      </w:r>
      <w:r w:rsidR="001A13FB" w:rsidRPr="00F072BB">
        <w:rPr>
          <w:rFonts w:ascii="Arial" w:hAnsi="Arial" w:cs="Arial"/>
          <w:lang w:val="pt-BR"/>
        </w:rPr>
        <w:t xml:space="preserve"> com base na qual essas medidas devem ser projetadas. Tais medidas devem ser adotadas somente em circunstâncias apropriadas e levando em consideração as preocupações que </w:t>
      </w:r>
      <w:r w:rsidR="00D834B9" w:rsidRPr="00F072BB">
        <w:rPr>
          <w:rFonts w:ascii="Arial" w:hAnsi="Arial" w:cs="Arial"/>
          <w:lang w:val="pt-BR"/>
        </w:rPr>
        <w:t>elas podem</w:t>
      </w:r>
      <w:r w:rsidR="001A13FB" w:rsidRPr="00F072BB">
        <w:rPr>
          <w:rFonts w:ascii="Arial" w:hAnsi="Arial" w:cs="Arial"/>
          <w:lang w:val="pt-BR"/>
        </w:rPr>
        <w:t xml:space="preserve"> </w:t>
      </w:r>
      <w:r w:rsidR="00D834B9" w:rsidRPr="00F072BB">
        <w:rPr>
          <w:rFonts w:ascii="Arial" w:hAnsi="Arial" w:cs="Arial"/>
          <w:lang w:val="pt-BR"/>
        </w:rPr>
        <w:t>trazer,</w:t>
      </w:r>
      <w:r w:rsidR="001A13FB" w:rsidRPr="00F072BB">
        <w:rPr>
          <w:rFonts w:ascii="Arial" w:hAnsi="Arial" w:cs="Arial"/>
          <w:lang w:val="pt-BR"/>
        </w:rPr>
        <w:t xml:space="preserve"> com o objetivo de aliviar alguns encargos de conformidade </w:t>
      </w:r>
      <w:r w:rsidR="00D834B9" w:rsidRPr="00F072BB">
        <w:rPr>
          <w:rFonts w:ascii="Arial" w:hAnsi="Arial" w:cs="Arial"/>
          <w:lang w:val="pt-BR"/>
        </w:rPr>
        <w:t xml:space="preserve">tributária </w:t>
      </w:r>
      <w:r w:rsidR="001A13FB" w:rsidRPr="00F072BB">
        <w:rPr>
          <w:rFonts w:ascii="Arial" w:hAnsi="Arial" w:cs="Arial"/>
          <w:lang w:val="pt-BR"/>
        </w:rPr>
        <w:t>e proporcionar maior segurança</w:t>
      </w:r>
      <w:r w:rsidR="00D834B9" w:rsidRPr="00F072BB">
        <w:rPr>
          <w:rFonts w:ascii="Arial" w:hAnsi="Arial" w:cs="Arial"/>
          <w:lang w:val="pt-BR"/>
        </w:rPr>
        <w:t xml:space="preserve"> jurídica</w:t>
      </w:r>
      <w:r w:rsidR="001A13FB" w:rsidRPr="00F072BB">
        <w:rPr>
          <w:rFonts w:ascii="Arial" w:hAnsi="Arial" w:cs="Arial"/>
          <w:lang w:val="pt-BR"/>
        </w:rPr>
        <w:t xml:space="preserve"> aos casos que envolvam contribuintes menores ou transações menos complexas. De acordo com as Diretrizes da OCDE, </w:t>
      </w:r>
      <w:r w:rsidR="00B019DC" w:rsidRPr="00F072BB">
        <w:rPr>
          <w:rFonts w:ascii="Arial" w:hAnsi="Arial" w:cs="Arial"/>
          <w:lang w:val="pt-BR"/>
        </w:rPr>
        <w:t>“</w:t>
      </w:r>
      <w:r w:rsidR="001A13FB" w:rsidRPr="00F072BB">
        <w:rPr>
          <w:rFonts w:ascii="Arial" w:hAnsi="Arial" w:cs="Arial"/>
          <w:i/>
          <w:lang w:val="pt-BR"/>
        </w:rPr>
        <w:t>pode-se esperar que</w:t>
      </w:r>
      <w:r w:rsidR="00B019DC" w:rsidRPr="00F072BB">
        <w:rPr>
          <w:rFonts w:ascii="Arial" w:hAnsi="Arial" w:cs="Arial"/>
          <w:i/>
          <w:lang w:val="pt-BR"/>
        </w:rPr>
        <w:t xml:space="preserve"> </w:t>
      </w:r>
      <w:r w:rsidR="001A13FB" w:rsidRPr="00F072BB">
        <w:rPr>
          <w:rFonts w:ascii="Arial" w:hAnsi="Arial" w:cs="Arial"/>
          <w:i/>
          <w:lang w:val="pt-BR"/>
        </w:rPr>
        <w:t xml:space="preserve">a adequação de </w:t>
      </w:r>
      <w:r w:rsidR="00D834B9" w:rsidRPr="00F072BB">
        <w:rPr>
          <w:rFonts w:ascii="Arial" w:hAnsi="Arial" w:cs="Arial"/>
          <w:i/>
          <w:lang w:val="pt-BR"/>
        </w:rPr>
        <w:t>safe harbours</w:t>
      </w:r>
      <w:r w:rsidR="001A13FB" w:rsidRPr="00F072BB">
        <w:rPr>
          <w:rFonts w:ascii="Arial" w:hAnsi="Arial" w:cs="Arial"/>
          <w:i/>
          <w:lang w:val="pt-BR"/>
        </w:rPr>
        <w:t xml:space="preserve"> seja mais aparente quando d</w:t>
      </w:r>
      <w:r w:rsidR="00B019DC" w:rsidRPr="00F072BB">
        <w:rPr>
          <w:rFonts w:ascii="Arial" w:hAnsi="Arial" w:cs="Arial"/>
          <w:i/>
          <w:lang w:val="pt-BR"/>
        </w:rPr>
        <w:t>irecionados a contribuintes e/</w:t>
      </w:r>
      <w:r w:rsidR="001A13FB" w:rsidRPr="00F072BB">
        <w:rPr>
          <w:rFonts w:ascii="Arial" w:hAnsi="Arial" w:cs="Arial"/>
          <w:i/>
          <w:lang w:val="pt-BR"/>
        </w:rPr>
        <w:t>ou transações que envolvam baixos riscos de preços de transferência e quando adotados em bases bilaterais ou multilaterais</w:t>
      </w:r>
      <w:r w:rsidR="001A13FB" w:rsidRPr="00F072BB">
        <w:rPr>
          <w:rFonts w:ascii="Arial" w:hAnsi="Arial" w:cs="Arial"/>
          <w:lang w:val="pt-BR"/>
        </w:rPr>
        <w:t>”.</w:t>
      </w:r>
      <w:r w:rsidR="002E224E" w:rsidRPr="00F072BB">
        <w:rPr>
          <w:rStyle w:val="FootnoteReference"/>
          <w:rFonts w:ascii="Arial" w:hAnsi="Arial" w:cs="Arial"/>
          <w:lang w:val="pt-BR"/>
        </w:rPr>
        <w:footnoteReference w:id="5"/>
      </w:r>
    </w:p>
    <w:p w14:paraId="1645A849" w14:textId="0A10D149" w:rsidR="001A13FB" w:rsidRPr="00F072BB" w:rsidRDefault="00EB3FB3" w:rsidP="00C71A19">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11.</w:instrText>
      </w:r>
      <w:r w:rsidRPr="00F072BB">
        <w:rPr>
          <w:rFonts w:ascii="Arial" w:hAnsi="Arial" w:cs="Arial"/>
          <w:lang w:val="pt-BR"/>
        </w:rPr>
        <w:tab/>
      </w:r>
      <w:r w:rsidRPr="00F072BB">
        <w:rPr>
          <w:rFonts w:ascii="Arial" w:hAnsi="Arial" w:cs="Arial"/>
        </w:rPr>
        <w:fldChar w:fldCharType="end"/>
      </w:r>
      <w:r w:rsidR="001A13FB" w:rsidRPr="00F072BB">
        <w:rPr>
          <w:rFonts w:ascii="Arial" w:hAnsi="Arial" w:cs="Arial"/>
          <w:lang w:val="pt-BR"/>
        </w:rPr>
        <w:t xml:space="preserve">As recomendações a favor da adoção de </w:t>
      </w:r>
      <w:r w:rsidR="00B00958" w:rsidRPr="00F072BB">
        <w:rPr>
          <w:rFonts w:ascii="Arial" w:hAnsi="Arial" w:cs="Arial"/>
          <w:lang w:val="pt-BR"/>
        </w:rPr>
        <w:t>safe harbours</w:t>
      </w:r>
      <w:r w:rsidR="001A13FB" w:rsidRPr="00F072BB">
        <w:rPr>
          <w:rFonts w:ascii="Arial" w:hAnsi="Arial" w:cs="Arial"/>
          <w:lang w:val="pt-BR"/>
        </w:rPr>
        <w:t xml:space="preserve"> contidas nas Diretrizes da OCDE refletem o fato de que vários países adotaram </w:t>
      </w:r>
      <w:r w:rsidR="00B00958" w:rsidRPr="00F072BB">
        <w:rPr>
          <w:rFonts w:ascii="Arial" w:hAnsi="Arial" w:cs="Arial"/>
          <w:lang w:val="pt-BR"/>
        </w:rPr>
        <w:t>safe harbours</w:t>
      </w:r>
      <w:r w:rsidR="001A13FB" w:rsidRPr="00F072BB">
        <w:rPr>
          <w:rFonts w:ascii="Arial" w:hAnsi="Arial" w:cs="Arial"/>
          <w:lang w:val="pt-BR"/>
        </w:rPr>
        <w:t xml:space="preserve"> e alcançaram resultados positivos ao fazê-lo. É por isso que eles são </w:t>
      </w:r>
      <w:r w:rsidR="001A13FB" w:rsidRPr="00F072BB">
        <w:rPr>
          <w:rFonts w:ascii="Arial" w:hAnsi="Arial" w:cs="Arial"/>
          <w:i/>
          <w:lang w:val="pt-BR"/>
        </w:rPr>
        <w:t xml:space="preserve">“geralmente avaliados favoravelmente pelas administrações tributárias e pelos contribuintes, que indicam que os benefícios de </w:t>
      </w:r>
      <w:r w:rsidR="00B00958" w:rsidRPr="00F072BB">
        <w:rPr>
          <w:rFonts w:ascii="Arial" w:hAnsi="Arial" w:cs="Arial"/>
          <w:i/>
          <w:lang w:val="pt-BR"/>
        </w:rPr>
        <w:t>safe harbours</w:t>
      </w:r>
      <w:r w:rsidR="001A13FB" w:rsidRPr="00F072BB">
        <w:rPr>
          <w:rFonts w:ascii="Arial" w:hAnsi="Arial" w:cs="Arial"/>
          <w:i/>
          <w:lang w:val="pt-BR"/>
        </w:rPr>
        <w:t xml:space="preserve"> superam as preocupações relacionadas quando essas regras são cuidadosamente direcionadas e prescritas e quando são feitos esforços para evitar os problemas que possam surgir de maneira inadequada considerados regimes de safe harbours”.</w:t>
      </w:r>
      <w:r w:rsidR="002E224E" w:rsidRPr="00F072BB">
        <w:rPr>
          <w:rStyle w:val="FootnoteReference"/>
          <w:rFonts w:ascii="Arial" w:hAnsi="Arial" w:cs="Arial"/>
          <w:i/>
          <w:lang w:val="pt-BR"/>
        </w:rPr>
        <w:footnoteReference w:id="6"/>
      </w:r>
    </w:p>
    <w:p w14:paraId="0D98FE60" w14:textId="00F80F9A" w:rsidR="001A13FB" w:rsidRPr="00F072BB" w:rsidRDefault="00944BE2" w:rsidP="00944BE2">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12.</w:instrText>
      </w:r>
      <w:r w:rsidRPr="00F072BB">
        <w:rPr>
          <w:rFonts w:ascii="Arial" w:hAnsi="Arial" w:cs="Arial"/>
          <w:lang w:val="pt-BR"/>
        </w:rPr>
        <w:tab/>
      </w:r>
      <w:r w:rsidRPr="00F072BB">
        <w:rPr>
          <w:rFonts w:ascii="Arial" w:hAnsi="Arial" w:cs="Arial"/>
        </w:rPr>
        <w:fldChar w:fldCharType="end"/>
      </w:r>
      <w:r w:rsidR="001A13FB" w:rsidRPr="00F072BB">
        <w:rPr>
          <w:rFonts w:ascii="Arial" w:hAnsi="Arial" w:cs="Arial"/>
          <w:lang w:val="pt-BR"/>
        </w:rPr>
        <w:t xml:space="preserve">No entanto, como o mecanismo de </w:t>
      </w:r>
      <w:r w:rsidR="001A13FB" w:rsidRPr="00F072BB">
        <w:rPr>
          <w:rFonts w:ascii="Arial" w:hAnsi="Arial" w:cs="Arial"/>
          <w:i/>
          <w:lang w:val="pt-BR"/>
        </w:rPr>
        <w:t>safe harbour</w:t>
      </w:r>
      <w:r w:rsidR="001A13FB" w:rsidRPr="00F072BB">
        <w:rPr>
          <w:rFonts w:ascii="Arial" w:hAnsi="Arial" w:cs="Arial"/>
          <w:lang w:val="pt-BR"/>
        </w:rPr>
        <w:t xml:space="preserve"> impõe obrigações mais simples </w:t>
      </w:r>
      <w:r w:rsidR="00804E42" w:rsidRPr="00F072BB">
        <w:rPr>
          <w:rFonts w:ascii="Arial" w:hAnsi="Arial" w:cs="Arial"/>
          <w:lang w:val="pt-BR"/>
        </w:rPr>
        <w:t>do que a</w:t>
      </w:r>
      <w:r w:rsidR="001A13FB" w:rsidRPr="00F072BB">
        <w:rPr>
          <w:rFonts w:ascii="Arial" w:hAnsi="Arial" w:cs="Arial"/>
          <w:lang w:val="pt-BR"/>
        </w:rPr>
        <w:t xml:space="preserve"> pessoas sujeitas ao regime geral de preços de transferência, a disponibilidade de </w:t>
      </w:r>
      <w:r w:rsidR="00804E42" w:rsidRPr="00F072BB">
        <w:rPr>
          <w:rFonts w:ascii="Arial" w:hAnsi="Arial" w:cs="Arial"/>
          <w:i/>
          <w:lang w:val="pt-BR"/>
        </w:rPr>
        <w:t>safe harbours</w:t>
      </w:r>
      <w:r w:rsidR="001A13FB" w:rsidRPr="00F072BB">
        <w:rPr>
          <w:rFonts w:ascii="Arial" w:hAnsi="Arial" w:cs="Arial"/>
          <w:lang w:val="pt-BR"/>
        </w:rPr>
        <w:t xml:space="preserve"> para uma determinada categoria de contribuintes ou transações pode ter consequências adversas se não for</w:t>
      </w:r>
      <w:r w:rsidR="00F6360D">
        <w:rPr>
          <w:rFonts w:ascii="Arial" w:hAnsi="Arial" w:cs="Arial"/>
          <w:lang w:val="pt-BR"/>
        </w:rPr>
        <w:t>em projetados</w:t>
      </w:r>
      <w:r w:rsidR="001A13FB" w:rsidRPr="00F072BB">
        <w:rPr>
          <w:rFonts w:ascii="Arial" w:hAnsi="Arial" w:cs="Arial"/>
          <w:lang w:val="pt-BR"/>
        </w:rPr>
        <w:t xml:space="preserve"> adequadamente. A esse respeito, as Diretrizes da OCDE explicam que o </w:t>
      </w:r>
      <w:r w:rsidR="001A13FB" w:rsidRPr="00F072BB">
        <w:rPr>
          <w:rFonts w:ascii="Arial" w:hAnsi="Arial" w:cs="Arial"/>
          <w:i/>
          <w:lang w:val="pt-BR"/>
        </w:rPr>
        <w:t>“</w:t>
      </w:r>
      <w:r w:rsidR="00350A7B" w:rsidRPr="00F072BB">
        <w:rPr>
          <w:rFonts w:ascii="Arial" w:hAnsi="Arial" w:cs="Arial"/>
          <w:i/>
          <w:lang w:val="pt-BR"/>
        </w:rPr>
        <w:t xml:space="preserve">a criação </w:t>
      </w:r>
      <w:r w:rsidR="001A13FB" w:rsidRPr="00F072BB">
        <w:rPr>
          <w:rFonts w:ascii="Arial" w:hAnsi="Arial" w:cs="Arial"/>
          <w:i/>
          <w:lang w:val="pt-BR"/>
        </w:rPr>
        <w:t xml:space="preserve">de </w:t>
      </w:r>
      <w:r w:rsidR="00804E42" w:rsidRPr="00F072BB">
        <w:rPr>
          <w:rFonts w:ascii="Arial" w:hAnsi="Arial" w:cs="Arial"/>
          <w:i/>
          <w:lang w:val="pt-BR"/>
        </w:rPr>
        <w:t>safe harbours</w:t>
      </w:r>
      <w:r w:rsidR="001A13FB" w:rsidRPr="00F072BB">
        <w:rPr>
          <w:rFonts w:ascii="Arial" w:hAnsi="Arial" w:cs="Arial"/>
          <w:i/>
          <w:lang w:val="pt-BR"/>
        </w:rPr>
        <w:t xml:space="preserve"> requer atenção</w:t>
      </w:r>
      <w:r w:rsidR="00350A7B" w:rsidRPr="00F072BB">
        <w:rPr>
          <w:rFonts w:ascii="Arial" w:hAnsi="Arial" w:cs="Arial"/>
          <w:i/>
          <w:lang w:val="pt-BR"/>
        </w:rPr>
        <w:t xml:space="preserve"> minuciosa</w:t>
      </w:r>
      <w:r w:rsidR="001A13FB" w:rsidRPr="00F072BB">
        <w:rPr>
          <w:rFonts w:ascii="Arial" w:hAnsi="Arial" w:cs="Arial"/>
          <w:i/>
          <w:lang w:val="pt-BR"/>
        </w:rPr>
        <w:t xml:space="preserve"> às </w:t>
      </w:r>
      <w:r w:rsidR="002E224E" w:rsidRPr="00F072BB">
        <w:rPr>
          <w:rFonts w:ascii="Arial" w:hAnsi="Arial" w:cs="Arial"/>
          <w:i/>
          <w:lang w:val="pt-BR"/>
        </w:rPr>
        <w:t>questões</w:t>
      </w:r>
      <w:r w:rsidR="001A13FB" w:rsidRPr="00F072BB">
        <w:rPr>
          <w:rFonts w:ascii="Arial" w:hAnsi="Arial" w:cs="Arial"/>
          <w:i/>
          <w:lang w:val="pt-BR"/>
        </w:rPr>
        <w:t xml:space="preserve"> sobre o grau de aproximação aos preços </w:t>
      </w:r>
      <w:r w:rsidR="00804E42" w:rsidRPr="00F072BB">
        <w:rPr>
          <w:rFonts w:ascii="Arial" w:hAnsi="Arial" w:cs="Arial"/>
          <w:i/>
          <w:lang w:val="pt-BR"/>
        </w:rPr>
        <w:t>arm’s length</w:t>
      </w:r>
      <w:r w:rsidR="001A13FB" w:rsidRPr="00F072BB">
        <w:rPr>
          <w:rFonts w:ascii="Arial" w:hAnsi="Arial" w:cs="Arial"/>
          <w:i/>
          <w:lang w:val="pt-BR"/>
        </w:rPr>
        <w:t xml:space="preserve"> que seriam permitidos na determinação dos preços de transferência sob regras de </w:t>
      </w:r>
      <w:r w:rsidR="00804E42" w:rsidRPr="00F072BB">
        <w:rPr>
          <w:rFonts w:ascii="Arial" w:hAnsi="Arial" w:cs="Arial"/>
          <w:i/>
          <w:lang w:val="pt-BR"/>
        </w:rPr>
        <w:t>safe harbour</w:t>
      </w:r>
      <w:r w:rsidR="001A13FB" w:rsidRPr="00F072BB">
        <w:rPr>
          <w:rFonts w:ascii="Arial" w:hAnsi="Arial" w:cs="Arial"/>
          <w:i/>
          <w:lang w:val="pt-BR"/>
        </w:rPr>
        <w:t xml:space="preserve"> para contribuintes </w:t>
      </w:r>
      <w:r w:rsidR="001A13FB" w:rsidRPr="00F072BB">
        <w:rPr>
          <w:rFonts w:ascii="Arial" w:hAnsi="Arial" w:cs="Arial"/>
          <w:i/>
          <w:lang w:val="pt-BR"/>
        </w:rPr>
        <w:lastRenderedPageBreak/>
        <w:t xml:space="preserve">elegíveis, </w:t>
      </w:r>
      <w:r w:rsidR="002E224E" w:rsidRPr="00F072BB">
        <w:rPr>
          <w:rFonts w:ascii="Arial" w:hAnsi="Arial" w:cs="Arial"/>
          <w:i/>
          <w:lang w:val="pt-BR"/>
        </w:rPr>
        <w:t xml:space="preserve">sobre </w:t>
      </w:r>
      <w:r w:rsidR="001A13FB" w:rsidRPr="00F072BB">
        <w:rPr>
          <w:rFonts w:ascii="Arial" w:hAnsi="Arial" w:cs="Arial"/>
          <w:i/>
          <w:lang w:val="pt-BR"/>
        </w:rPr>
        <w:t xml:space="preserve">o potencial para criar oportunidades de planejamento tributário, incluindo a dupla não tributação de renda, tratamento equitativo de contribuintes em situação semelhante e o potencial de dupla tributação resultante da possível incompatibilidade dos safe harbours com o princípio </w:t>
      </w:r>
      <w:r w:rsidR="00772966" w:rsidRPr="00F072BB">
        <w:rPr>
          <w:rFonts w:ascii="Arial" w:hAnsi="Arial" w:cs="Arial"/>
          <w:i/>
          <w:lang w:val="pt-BR"/>
        </w:rPr>
        <w:t>arm’s length</w:t>
      </w:r>
      <w:r w:rsidR="001A13FB" w:rsidRPr="00F072BB">
        <w:rPr>
          <w:rFonts w:ascii="Arial" w:hAnsi="Arial" w:cs="Arial"/>
          <w:i/>
          <w:lang w:val="pt-BR"/>
        </w:rPr>
        <w:t xml:space="preserve"> ou com as práticas de outros países ”.</w:t>
      </w:r>
      <w:r w:rsidR="00C67D39" w:rsidRPr="00F072BB">
        <w:rPr>
          <w:rStyle w:val="FootnoteReference"/>
          <w:rFonts w:ascii="Arial" w:hAnsi="Arial" w:cs="Arial"/>
          <w:i/>
          <w:lang w:val="pt-BR"/>
        </w:rPr>
        <w:footnoteReference w:id="7"/>
      </w:r>
      <w:r w:rsidR="001A13FB" w:rsidRPr="00F072BB">
        <w:rPr>
          <w:rFonts w:ascii="Arial" w:hAnsi="Arial" w:cs="Arial"/>
          <w:lang w:val="pt-BR"/>
        </w:rPr>
        <w:t xml:space="preserve"> Cada uma</w:t>
      </w:r>
      <w:r w:rsidR="00350A7B" w:rsidRPr="00F072BB">
        <w:rPr>
          <w:rFonts w:ascii="Arial" w:hAnsi="Arial" w:cs="Arial"/>
          <w:lang w:val="pt-BR"/>
        </w:rPr>
        <w:t xml:space="preserve"> dessas quatro considerações </w:t>
      </w:r>
      <w:r w:rsidR="001A13FB" w:rsidRPr="00F072BB">
        <w:rPr>
          <w:rFonts w:ascii="Arial" w:hAnsi="Arial" w:cs="Arial"/>
          <w:lang w:val="pt-BR"/>
        </w:rPr>
        <w:t>é explicada mais detalhadamente nas orientações (ver anexo) e também demonstrada no exemplo a seguir.</w:t>
      </w:r>
    </w:p>
    <w:p w14:paraId="29633095" w14:textId="15E5D685" w:rsidR="001A13FB" w:rsidRPr="00F072BB" w:rsidRDefault="00E55FD7" w:rsidP="00A042FF">
      <w:pPr>
        <w:pStyle w:val="Num-DocParagraph"/>
        <w:rPr>
          <w:rFonts w:ascii="Arial" w:hAnsi="Arial" w:cs="Arial"/>
          <w:lang w:val="pt-BR"/>
        </w:rPr>
      </w:pPr>
      <w:r w:rsidRPr="00F072BB">
        <w:rPr>
          <w:rFonts w:ascii="Arial" w:hAnsi="Arial" w:cs="Arial"/>
        </w:rPr>
        <w:fldChar w:fldCharType="begin"/>
      </w:r>
      <w:r>
        <w:rPr>
          <w:rFonts w:ascii="Arial" w:hAnsi="Arial" w:cs="Arial"/>
          <w:lang w:val="pt-BR"/>
        </w:rPr>
        <w:instrText xml:space="preserve"> MACROBUTTON NUMBERING 13</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1A13FB" w:rsidRPr="00F072BB">
        <w:rPr>
          <w:rFonts w:ascii="Arial" w:hAnsi="Arial" w:cs="Arial"/>
          <w:lang w:val="pt-BR"/>
        </w:rPr>
        <w:t>Suponha, por exemplo, que um</w:t>
      </w:r>
      <w:r w:rsidR="00C351E0" w:rsidRPr="00F072BB">
        <w:rPr>
          <w:rFonts w:ascii="Arial" w:hAnsi="Arial" w:cs="Arial"/>
          <w:lang w:val="pt-BR"/>
        </w:rPr>
        <w:t xml:space="preserve"> país tenha adotado um</w:t>
      </w:r>
      <w:r w:rsidR="001A13FB" w:rsidRPr="00F072BB">
        <w:rPr>
          <w:rFonts w:ascii="Arial" w:hAnsi="Arial" w:cs="Arial"/>
          <w:lang w:val="pt-BR"/>
        </w:rPr>
        <w:t xml:space="preserve"> regime de </w:t>
      </w:r>
      <w:r w:rsidR="001A13FB" w:rsidRPr="00F072BB">
        <w:rPr>
          <w:rFonts w:ascii="Arial" w:hAnsi="Arial" w:cs="Arial"/>
          <w:i/>
          <w:lang w:val="pt-BR"/>
        </w:rPr>
        <w:t>safe harbour</w:t>
      </w:r>
      <w:r w:rsidR="001A13FB" w:rsidRPr="00F072BB">
        <w:rPr>
          <w:rFonts w:ascii="Arial" w:hAnsi="Arial" w:cs="Arial"/>
          <w:lang w:val="pt-BR"/>
        </w:rPr>
        <w:t xml:space="preserve">  para lidar com um tipo comum de transaç</w:t>
      </w:r>
      <w:r w:rsidR="00C351E0" w:rsidRPr="00F072BB">
        <w:rPr>
          <w:rFonts w:ascii="Arial" w:hAnsi="Arial" w:cs="Arial"/>
          <w:lang w:val="pt-BR"/>
        </w:rPr>
        <w:t xml:space="preserve">ão </w:t>
      </w:r>
      <w:r w:rsidR="001A13FB" w:rsidRPr="00F072BB">
        <w:rPr>
          <w:rFonts w:ascii="Arial" w:hAnsi="Arial" w:cs="Arial"/>
          <w:lang w:val="pt-BR"/>
        </w:rPr>
        <w:t xml:space="preserve">com partes relacionadas, </w:t>
      </w:r>
      <w:r w:rsidR="00C351E0" w:rsidRPr="00F072BB">
        <w:rPr>
          <w:rFonts w:ascii="Arial" w:hAnsi="Arial" w:cs="Arial"/>
          <w:lang w:val="pt-BR"/>
        </w:rPr>
        <w:t>para a qual haja falta de dados comparáveis de transa</w:t>
      </w:r>
      <w:r w:rsidR="00C43B8D" w:rsidRPr="00F072BB">
        <w:rPr>
          <w:rFonts w:ascii="Arial" w:hAnsi="Arial" w:cs="Arial"/>
          <w:lang w:val="pt-BR"/>
        </w:rPr>
        <w:t>ções não controladas.</w:t>
      </w:r>
      <w:r w:rsidR="00C351E0" w:rsidRPr="00F072BB">
        <w:rPr>
          <w:rFonts w:ascii="Arial" w:hAnsi="Arial" w:cs="Arial"/>
          <w:lang w:val="pt-BR"/>
        </w:rPr>
        <w:t xml:space="preserve"> A maior parte </w:t>
      </w:r>
      <w:r w:rsidR="001A13FB" w:rsidRPr="00F072BB">
        <w:rPr>
          <w:rFonts w:ascii="Arial" w:hAnsi="Arial" w:cs="Arial"/>
          <w:lang w:val="pt-BR"/>
        </w:rPr>
        <w:t xml:space="preserve">dessas </w:t>
      </w:r>
      <w:r w:rsidR="00C43B8D" w:rsidRPr="00F072BB">
        <w:rPr>
          <w:rFonts w:ascii="Arial" w:hAnsi="Arial" w:cs="Arial"/>
          <w:lang w:val="pt-BR"/>
        </w:rPr>
        <w:t xml:space="preserve">transações </w:t>
      </w:r>
      <w:r w:rsidR="00C351E0" w:rsidRPr="00F072BB">
        <w:rPr>
          <w:rFonts w:ascii="Arial" w:hAnsi="Arial" w:cs="Arial"/>
          <w:lang w:val="pt-BR"/>
        </w:rPr>
        <w:t xml:space="preserve">são </w:t>
      </w:r>
      <w:r w:rsidR="001A13FB" w:rsidRPr="00F072BB">
        <w:rPr>
          <w:rFonts w:ascii="Arial" w:hAnsi="Arial" w:cs="Arial"/>
          <w:lang w:val="pt-BR"/>
        </w:rPr>
        <w:t>realizada</w:t>
      </w:r>
      <w:r w:rsidR="00C351E0" w:rsidRPr="00F072BB">
        <w:rPr>
          <w:rFonts w:ascii="Arial" w:hAnsi="Arial" w:cs="Arial"/>
          <w:lang w:val="pt-BR"/>
        </w:rPr>
        <w:t>s</w:t>
      </w:r>
      <w:r w:rsidR="001A13FB" w:rsidRPr="00F072BB">
        <w:rPr>
          <w:rFonts w:ascii="Arial" w:hAnsi="Arial" w:cs="Arial"/>
          <w:lang w:val="pt-BR"/>
        </w:rPr>
        <w:t xml:space="preserve"> </w:t>
      </w:r>
      <w:r w:rsidR="00C43B8D" w:rsidRPr="00F072BB">
        <w:rPr>
          <w:rFonts w:ascii="Arial" w:hAnsi="Arial" w:cs="Arial"/>
          <w:lang w:val="pt-BR"/>
        </w:rPr>
        <w:t xml:space="preserve">entre </w:t>
      </w:r>
      <w:r w:rsidR="001A13FB" w:rsidRPr="00F072BB">
        <w:rPr>
          <w:rFonts w:ascii="Arial" w:hAnsi="Arial" w:cs="Arial"/>
          <w:lang w:val="pt-BR"/>
        </w:rPr>
        <w:t>entidades que fazem parte de grupos de empresas multinacionais</w:t>
      </w:r>
      <w:r w:rsidR="00C351E0" w:rsidRPr="00F072BB">
        <w:rPr>
          <w:rFonts w:ascii="Arial" w:hAnsi="Arial" w:cs="Arial"/>
          <w:lang w:val="pt-BR"/>
        </w:rPr>
        <w:t>.</w:t>
      </w:r>
      <w:r w:rsidR="001A13FB" w:rsidRPr="00F072BB">
        <w:rPr>
          <w:rFonts w:ascii="Arial" w:hAnsi="Arial" w:cs="Arial"/>
          <w:lang w:val="pt-BR"/>
        </w:rPr>
        <w:t xml:space="preserve"> As etapas a seguir foram executadas no processo de criação do </w:t>
      </w:r>
      <w:r w:rsidR="00350A7B" w:rsidRPr="00F072BB">
        <w:rPr>
          <w:rFonts w:ascii="Arial" w:hAnsi="Arial" w:cs="Arial"/>
          <w:i/>
          <w:lang w:val="pt-BR"/>
        </w:rPr>
        <w:t>safe harbour</w:t>
      </w:r>
      <w:r w:rsidR="001A13FB" w:rsidRPr="00F072BB">
        <w:rPr>
          <w:rFonts w:ascii="Arial" w:hAnsi="Arial" w:cs="Arial"/>
          <w:lang w:val="pt-BR"/>
        </w:rPr>
        <w:t>:</w:t>
      </w:r>
    </w:p>
    <w:p w14:paraId="294192EE" w14:textId="2E76FC14" w:rsidR="001A13FB" w:rsidRPr="00F072BB" w:rsidRDefault="001A13FB" w:rsidP="003F176E">
      <w:pPr>
        <w:pStyle w:val="Num-DocParagraph"/>
        <w:ind w:left="720"/>
        <w:rPr>
          <w:rFonts w:ascii="Arial" w:hAnsi="Arial" w:cs="Arial"/>
          <w:lang w:val="pt-BR"/>
        </w:rPr>
      </w:pPr>
      <w:r w:rsidRPr="00F072BB">
        <w:rPr>
          <w:rFonts w:ascii="Arial" w:hAnsi="Arial" w:cs="Arial"/>
          <w:lang w:val="pt-BR"/>
        </w:rPr>
        <w:t xml:space="preserve">1) Realizou-se uma análise cuidadosa do perfil funcional das entidades que realizam esse tipo de </w:t>
      </w:r>
      <w:r w:rsidR="00396E9A" w:rsidRPr="00F072BB">
        <w:rPr>
          <w:rFonts w:ascii="Arial" w:hAnsi="Arial" w:cs="Arial"/>
          <w:lang w:val="pt-BR"/>
        </w:rPr>
        <w:t>transação</w:t>
      </w:r>
      <w:r w:rsidRPr="00F072BB">
        <w:rPr>
          <w:rFonts w:ascii="Arial" w:hAnsi="Arial" w:cs="Arial"/>
          <w:lang w:val="pt-BR"/>
        </w:rPr>
        <w:t>, que envolve a análise das funções desempenhadas por essas entidades, dos ativos que utilizam e dos riscos que assumem no desempenho dessas funções. A análise mostrou que aproximadamente 80% dos contribuintes ativos neste setor apresentam em geral o m</w:t>
      </w:r>
      <w:r w:rsidR="00CF6F33" w:rsidRPr="00F072BB">
        <w:rPr>
          <w:rFonts w:ascii="Arial" w:hAnsi="Arial" w:cs="Arial"/>
          <w:lang w:val="pt-BR"/>
        </w:rPr>
        <w:t>esmo tipo de perfil funcional (</w:t>
      </w:r>
      <w:r w:rsidRPr="00F072BB">
        <w:rPr>
          <w:rFonts w:ascii="Arial" w:hAnsi="Arial" w:cs="Arial"/>
          <w:lang w:val="pt-BR"/>
        </w:rPr>
        <w:t>identificados como Categoria A</w:t>
      </w:r>
      <w:r w:rsidR="00CF6F33" w:rsidRPr="00F072BB">
        <w:rPr>
          <w:rFonts w:ascii="Arial" w:hAnsi="Arial" w:cs="Arial"/>
          <w:lang w:val="pt-BR"/>
        </w:rPr>
        <w:t>),</w:t>
      </w:r>
      <w:r w:rsidRPr="00F072BB">
        <w:rPr>
          <w:rFonts w:ascii="Arial" w:hAnsi="Arial" w:cs="Arial"/>
          <w:lang w:val="pt-BR"/>
        </w:rPr>
        <w:t xml:space="preserve"> enquanto 20% dos contribuintes tinham um perfil funcional e de risco significativamente diferente. </w:t>
      </w:r>
      <w:r w:rsidR="00CF6F33" w:rsidRPr="00F072BB">
        <w:rPr>
          <w:rFonts w:ascii="Arial" w:hAnsi="Arial" w:cs="Arial"/>
          <w:lang w:val="pt-BR"/>
        </w:rPr>
        <w:t>Dentre</w:t>
      </w:r>
      <w:r w:rsidRPr="00F072BB">
        <w:rPr>
          <w:rFonts w:ascii="Arial" w:hAnsi="Arial" w:cs="Arial"/>
          <w:lang w:val="pt-BR"/>
        </w:rPr>
        <w:t xml:space="preserve"> </w:t>
      </w:r>
      <w:r w:rsidR="00CF6F33" w:rsidRPr="00F072BB">
        <w:rPr>
          <w:rFonts w:ascii="Arial" w:hAnsi="Arial" w:cs="Arial"/>
          <w:lang w:val="pt-BR"/>
        </w:rPr>
        <w:t>esses contribuintes que tinham perfil funcional e de riso significativamente diferente</w:t>
      </w:r>
      <w:r w:rsidR="008C4A7B" w:rsidRPr="00F072BB">
        <w:rPr>
          <w:rFonts w:ascii="Arial" w:hAnsi="Arial" w:cs="Arial"/>
          <w:lang w:val="pt-BR"/>
        </w:rPr>
        <w:t xml:space="preserve"> – 20%</w:t>
      </w:r>
      <w:r w:rsidR="00CF6F33" w:rsidRPr="00F072BB">
        <w:rPr>
          <w:rFonts w:ascii="Arial" w:hAnsi="Arial" w:cs="Arial"/>
          <w:lang w:val="pt-BR"/>
        </w:rPr>
        <w:t>, aproximadamente metade (</w:t>
      </w:r>
      <w:r w:rsidRPr="00F072BB">
        <w:rPr>
          <w:rFonts w:ascii="Arial" w:hAnsi="Arial" w:cs="Arial"/>
          <w:lang w:val="pt-BR"/>
        </w:rPr>
        <w:t>identificada como categoria B</w:t>
      </w:r>
      <w:r w:rsidR="00CF6F33" w:rsidRPr="00F072BB">
        <w:rPr>
          <w:rFonts w:ascii="Arial" w:hAnsi="Arial" w:cs="Arial"/>
          <w:lang w:val="pt-BR"/>
        </w:rPr>
        <w:t>)</w:t>
      </w:r>
      <w:r w:rsidRPr="00F072BB">
        <w:rPr>
          <w:rFonts w:ascii="Arial" w:hAnsi="Arial" w:cs="Arial"/>
          <w:lang w:val="pt-BR"/>
        </w:rPr>
        <w:t xml:space="preserve"> exercia funções significativamente mais simples, mas essas funções ainda eram significativamente diferentes de uma para </w:t>
      </w:r>
      <w:r w:rsidR="00CF6F33" w:rsidRPr="00F072BB">
        <w:rPr>
          <w:rFonts w:ascii="Arial" w:hAnsi="Arial" w:cs="Arial"/>
          <w:lang w:val="pt-BR"/>
        </w:rPr>
        <w:t>a outra. A outra metade (</w:t>
      </w:r>
      <w:r w:rsidRPr="00F072BB">
        <w:rPr>
          <w:rFonts w:ascii="Arial" w:hAnsi="Arial" w:cs="Arial"/>
          <w:lang w:val="pt-BR"/>
        </w:rPr>
        <w:t>identificada como Categoria C</w:t>
      </w:r>
      <w:r w:rsidR="00CF6F33" w:rsidRPr="00F072BB">
        <w:rPr>
          <w:rFonts w:ascii="Arial" w:hAnsi="Arial" w:cs="Arial"/>
          <w:lang w:val="pt-BR"/>
        </w:rPr>
        <w:t>)</w:t>
      </w:r>
      <w:r w:rsidRPr="00F072BB">
        <w:rPr>
          <w:rFonts w:ascii="Arial" w:hAnsi="Arial" w:cs="Arial"/>
          <w:lang w:val="pt-BR"/>
        </w:rPr>
        <w:t xml:space="preserve"> exercia funções significativamente mais complexas e, </w:t>
      </w:r>
      <w:r w:rsidR="008C4A7B" w:rsidRPr="00F072BB">
        <w:rPr>
          <w:rFonts w:ascii="Arial" w:hAnsi="Arial" w:cs="Arial"/>
          <w:lang w:val="pt-BR"/>
        </w:rPr>
        <w:t>assim</w:t>
      </w:r>
      <w:r w:rsidRPr="00F072BB">
        <w:rPr>
          <w:rFonts w:ascii="Arial" w:hAnsi="Arial" w:cs="Arial"/>
          <w:lang w:val="pt-BR"/>
        </w:rPr>
        <w:t xml:space="preserve">, também usava ativos únicos e valiosos, além de assumir riscos economicamente significativos adicionais. Com base nessa análise, os critérios de elegibilidade </w:t>
      </w:r>
      <w:r w:rsidR="00396E9A" w:rsidRPr="00F072BB">
        <w:rPr>
          <w:rFonts w:ascii="Arial" w:hAnsi="Arial" w:cs="Arial"/>
          <w:lang w:val="pt-BR"/>
        </w:rPr>
        <w:t xml:space="preserve">para o </w:t>
      </w:r>
      <w:r w:rsidR="00396E9A" w:rsidRPr="00F072BB">
        <w:rPr>
          <w:rFonts w:ascii="Arial" w:hAnsi="Arial" w:cs="Arial"/>
          <w:i/>
          <w:lang w:val="pt-BR"/>
        </w:rPr>
        <w:t xml:space="preserve">safe harbour </w:t>
      </w:r>
      <w:r w:rsidR="00396E9A" w:rsidRPr="00F072BB">
        <w:rPr>
          <w:rFonts w:ascii="Arial" w:hAnsi="Arial" w:cs="Arial"/>
          <w:lang w:val="pt-BR"/>
        </w:rPr>
        <w:t>foram estabelecidos</w:t>
      </w:r>
      <w:r w:rsidRPr="00F072BB">
        <w:rPr>
          <w:rFonts w:ascii="Arial" w:hAnsi="Arial" w:cs="Arial"/>
          <w:lang w:val="pt-BR"/>
        </w:rPr>
        <w:t xml:space="preserve"> com o</w:t>
      </w:r>
      <w:r w:rsidR="00CA2FD7" w:rsidRPr="00F072BB">
        <w:rPr>
          <w:rFonts w:ascii="Arial" w:hAnsi="Arial" w:cs="Arial"/>
          <w:lang w:val="pt-BR"/>
        </w:rPr>
        <w:t>s</w:t>
      </w:r>
      <w:r w:rsidRPr="00F072BB">
        <w:rPr>
          <w:rFonts w:ascii="Arial" w:hAnsi="Arial" w:cs="Arial"/>
          <w:lang w:val="pt-BR"/>
        </w:rPr>
        <w:t xml:space="preserve"> objetivo</w:t>
      </w:r>
      <w:r w:rsidR="00CA2FD7" w:rsidRPr="00F072BB">
        <w:rPr>
          <w:rFonts w:ascii="Arial" w:hAnsi="Arial" w:cs="Arial"/>
          <w:lang w:val="pt-BR"/>
        </w:rPr>
        <w:t>s</w:t>
      </w:r>
      <w:r w:rsidRPr="00F072BB">
        <w:rPr>
          <w:rFonts w:ascii="Arial" w:hAnsi="Arial" w:cs="Arial"/>
          <w:lang w:val="pt-BR"/>
        </w:rPr>
        <w:t xml:space="preserve"> de garantir que apenas os contribuintes da </w:t>
      </w:r>
      <w:r w:rsidR="00396E9A" w:rsidRPr="00F072BB">
        <w:rPr>
          <w:rFonts w:ascii="Arial" w:hAnsi="Arial" w:cs="Arial"/>
          <w:lang w:val="pt-BR"/>
        </w:rPr>
        <w:t>C</w:t>
      </w:r>
      <w:r w:rsidRPr="00F072BB">
        <w:rPr>
          <w:rFonts w:ascii="Arial" w:hAnsi="Arial" w:cs="Arial"/>
          <w:lang w:val="pt-BR"/>
        </w:rPr>
        <w:t xml:space="preserve">ategoria A estariam </w:t>
      </w:r>
      <w:r w:rsidR="00396E9A" w:rsidRPr="00F072BB">
        <w:rPr>
          <w:rFonts w:ascii="Arial" w:hAnsi="Arial" w:cs="Arial"/>
          <w:lang w:val="pt-BR"/>
        </w:rPr>
        <w:t xml:space="preserve">elegíveis </w:t>
      </w:r>
      <w:r w:rsidRPr="00F072BB">
        <w:rPr>
          <w:rFonts w:ascii="Arial" w:hAnsi="Arial" w:cs="Arial"/>
          <w:lang w:val="pt-BR"/>
        </w:rPr>
        <w:t xml:space="preserve">a esse regime e </w:t>
      </w:r>
      <w:r w:rsidR="00CA2FD7" w:rsidRPr="00F072BB">
        <w:rPr>
          <w:rFonts w:ascii="Arial" w:hAnsi="Arial" w:cs="Arial"/>
          <w:lang w:val="pt-BR"/>
        </w:rPr>
        <w:t xml:space="preserve">de </w:t>
      </w:r>
      <w:r w:rsidRPr="00F072BB">
        <w:rPr>
          <w:rFonts w:ascii="Arial" w:hAnsi="Arial" w:cs="Arial"/>
          <w:lang w:val="pt-BR"/>
        </w:rPr>
        <w:t xml:space="preserve">garantir resultados alinhados ao </w:t>
      </w:r>
      <w:r w:rsidR="00727A2A" w:rsidRPr="00F072BB">
        <w:rPr>
          <w:rFonts w:ascii="Arial" w:hAnsi="Arial" w:cs="Arial"/>
          <w:i/>
          <w:lang w:val="pt-BR"/>
        </w:rPr>
        <w:t>arm’s length</w:t>
      </w:r>
      <w:r w:rsidRPr="00F072BB">
        <w:rPr>
          <w:rFonts w:ascii="Arial" w:hAnsi="Arial" w:cs="Arial"/>
          <w:lang w:val="pt-BR"/>
        </w:rPr>
        <w:t xml:space="preserve">. </w:t>
      </w:r>
      <w:r w:rsidR="00396E9A" w:rsidRPr="00F072BB">
        <w:rPr>
          <w:rFonts w:ascii="Arial" w:hAnsi="Arial" w:cs="Arial"/>
          <w:lang w:val="pt-BR"/>
        </w:rPr>
        <w:t>Se</w:t>
      </w:r>
      <w:r w:rsidRPr="00F072BB">
        <w:rPr>
          <w:rFonts w:ascii="Arial" w:hAnsi="Arial" w:cs="Arial"/>
          <w:lang w:val="pt-BR"/>
        </w:rPr>
        <w:t xml:space="preserve"> os contribuintes da categoria B tivessem sido autorizados a aplicar esse regime, um risco potencial de excesso de tributação teria surgido e </w:t>
      </w:r>
      <w:r w:rsidR="00B94525" w:rsidRPr="00F072BB">
        <w:rPr>
          <w:rFonts w:ascii="Arial" w:hAnsi="Arial" w:cs="Arial"/>
          <w:lang w:val="pt-BR"/>
        </w:rPr>
        <w:t xml:space="preserve">como consequência </w:t>
      </w:r>
      <w:r w:rsidRPr="00F072BB">
        <w:rPr>
          <w:rFonts w:ascii="Arial" w:hAnsi="Arial" w:cs="Arial"/>
          <w:lang w:val="pt-BR"/>
        </w:rPr>
        <w:t xml:space="preserve">o risco potencial </w:t>
      </w:r>
      <w:r w:rsidR="00867A7D" w:rsidRPr="00F072BB">
        <w:rPr>
          <w:rFonts w:ascii="Arial" w:hAnsi="Arial" w:cs="Arial"/>
          <w:lang w:val="pt-BR"/>
        </w:rPr>
        <w:t xml:space="preserve">de </w:t>
      </w:r>
      <w:r w:rsidRPr="00F072BB">
        <w:rPr>
          <w:rFonts w:ascii="Arial" w:hAnsi="Arial" w:cs="Arial"/>
          <w:lang w:val="pt-BR"/>
        </w:rPr>
        <w:t>dupla tributação</w:t>
      </w:r>
      <w:r w:rsidR="00396E9A" w:rsidRPr="00F072BB">
        <w:rPr>
          <w:rFonts w:ascii="Arial" w:hAnsi="Arial" w:cs="Arial"/>
          <w:lang w:val="pt-BR"/>
        </w:rPr>
        <w:t>. Em contrapartida</w:t>
      </w:r>
      <w:r w:rsidR="00B94525" w:rsidRPr="00F072BB">
        <w:rPr>
          <w:rFonts w:ascii="Arial" w:hAnsi="Arial" w:cs="Arial"/>
          <w:lang w:val="pt-BR"/>
        </w:rPr>
        <w:t>,</w:t>
      </w:r>
      <w:r w:rsidRPr="00F072BB">
        <w:rPr>
          <w:rFonts w:ascii="Arial" w:hAnsi="Arial" w:cs="Arial"/>
          <w:lang w:val="pt-BR"/>
        </w:rPr>
        <w:t xml:space="preserve"> </w:t>
      </w:r>
      <w:r w:rsidR="00B94525" w:rsidRPr="00F072BB">
        <w:rPr>
          <w:rFonts w:ascii="Arial" w:hAnsi="Arial" w:cs="Arial"/>
          <w:lang w:val="pt-BR"/>
        </w:rPr>
        <w:t>haveria</w:t>
      </w:r>
      <w:r w:rsidRPr="00F072BB">
        <w:rPr>
          <w:rFonts w:ascii="Arial" w:hAnsi="Arial" w:cs="Arial"/>
          <w:lang w:val="pt-BR"/>
        </w:rPr>
        <w:t xml:space="preserve"> risco de perda de receita</w:t>
      </w:r>
      <w:r w:rsidR="00B94525" w:rsidRPr="00F072BB">
        <w:rPr>
          <w:rFonts w:ascii="Arial" w:hAnsi="Arial" w:cs="Arial"/>
          <w:lang w:val="pt-BR"/>
        </w:rPr>
        <w:t xml:space="preserve"> para a administração tributária</w:t>
      </w:r>
      <w:r w:rsidRPr="00F072BB">
        <w:rPr>
          <w:rFonts w:ascii="Arial" w:hAnsi="Arial" w:cs="Arial"/>
          <w:lang w:val="pt-BR"/>
        </w:rPr>
        <w:t xml:space="preserve"> se os contribuintes da categoria C tivessem permissão para </w:t>
      </w:r>
      <w:r w:rsidR="00867A7D" w:rsidRPr="00F072BB">
        <w:rPr>
          <w:rFonts w:ascii="Arial" w:hAnsi="Arial" w:cs="Arial"/>
          <w:lang w:val="pt-BR"/>
        </w:rPr>
        <w:t>se beneficiar d</w:t>
      </w:r>
      <w:r w:rsidRPr="00F072BB">
        <w:rPr>
          <w:rFonts w:ascii="Arial" w:hAnsi="Arial" w:cs="Arial"/>
          <w:lang w:val="pt-BR"/>
        </w:rPr>
        <w:t>esse regime</w:t>
      </w:r>
      <w:r w:rsidR="00B94525" w:rsidRPr="00F072BB">
        <w:rPr>
          <w:rFonts w:ascii="Arial" w:hAnsi="Arial" w:cs="Arial"/>
          <w:lang w:val="pt-BR"/>
        </w:rPr>
        <w:t>.</w:t>
      </w:r>
    </w:p>
    <w:p w14:paraId="633A848F" w14:textId="0485BCC0" w:rsidR="00C128A4" w:rsidRPr="00F072BB" w:rsidRDefault="001A13FB" w:rsidP="003F176E">
      <w:pPr>
        <w:pStyle w:val="Num-DocParagraph"/>
        <w:ind w:left="720"/>
        <w:rPr>
          <w:rFonts w:ascii="Arial" w:hAnsi="Arial" w:cs="Arial"/>
          <w:lang w:val="pt-BR"/>
        </w:rPr>
      </w:pPr>
      <w:r w:rsidRPr="00F072BB">
        <w:rPr>
          <w:rFonts w:ascii="Arial" w:hAnsi="Arial" w:cs="Arial"/>
          <w:lang w:val="pt-BR"/>
        </w:rPr>
        <w:t xml:space="preserve">2) Todos os elementos-chave da análise de comparabilidade dos contribuintes da categoria A foram examinados para garantir que os resultados do regime de </w:t>
      </w:r>
      <w:r w:rsidR="00B94525" w:rsidRPr="00F072BB">
        <w:rPr>
          <w:rFonts w:ascii="Arial" w:hAnsi="Arial" w:cs="Arial"/>
          <w:i/>
          <w:lang w:val="pt-BR"/>
        </w:rPr>
        <w:t>safe harbour</w:t>
      </w:r>
      <w:r w:rsidRPr="00F072BB">
        <w:rPr>
          <w:rFonts w:ascii="Arial" w:hAnsi="Arial" w:cs="Arial"/>
          <w:lang w:val="pt-BR"/>
        </w:rPr>
        <w:t xml:space="preserve"> estivessem alinhados com o princípio </w:t>
      </w:r>
      <w:r w:rsidR="006C3F31" w:rsidRPr="00F072BB">
        <w:rPr>
          <w:rFonts w:ascii="Arial" w:hAnsi="Arial" w:cs="Arial"/>
          <w:i/>
          <w:lang w:val="pt-BR"/>
        </w:rPr>
        <w:t>arm’s length</w:t>
      </w:r>
      <w:r w:rsidRPr="00F072BB">
        <w:rPr>
          <w:rFonts w:ascii="Arial" w:hAnsi="Arial" w:cs="Arial"/>
          <w:lang w:val="pt-BR"/>
        </w:rPr>
        <w:t xml:space="preserve"> e isso levou ao </w:t>
      </w:r>
      <w:r w:rsidR="006C3F31" w:rsidRPr="00F072BB">
        <w:rPr>
          <w:rFonts w:ascii="Arial" w:hAnsi="Arial" w:cs="Arial"/>
          <w:lang w:val="pt-BR"/>
        </w:rPr>
        <w:t>desenvolvimento</w:t>
      </w:r>
      <w:r w:rsidRPr="00F072BB">
        <w:rPr>
          <w:rFonts w:ascii="Arial" w:hAnsi="Arial" w:cs="Arial"/>
          <w:lang w:val="pt-BR"/>
        </w:rPr>
        <w:t xml:space="preserve"> d</w:t>
      </w:r>
      <w:r w:rsidR="006C3F31" w:rsidRPr="00F072BB">
        <w:rPr>
          <w:rFonts w:ascii="Arial" w:hAnsi="Arial" w:cs="Arial"/>
          <w:lang w:val="pt-BR"/>
        </w:rPr>
        <w:t>a</w:t>
      </w:r>
      <w:r w:rsidRPr="00F072BB">
        <w:rPr>
          <w:rFonts w:ascii="Arial" w:hAnsi="Arial" w:cs="Arial"/>
          <w:lang w:val="pt-BR"/>
        </w:rPr>
        <w:t xml:space="preserve">s demais </w:t>
      </w:r>
      <w:r w:rsidR="006C3F31" w:rsidRPr="00F072BB">
        <w:rPr>
          <w:rFonts w:ascii="Arial" w:hAnsi="Arial" w:cs="Arial"/>
          <w:lang w:val="pt-BR"/>
        </w:rPr>
        <w:t>características</w:t>
      </w:r>
      <w:r w:rsidRPr="00F072BB">
        <w:rPr>
          <w:rFonts w:ascii="Arial" w:hAnsi="Arial" w:cs="Arial"/>
          <w:lang w:val="pt-BR"/>
        </w:rPr>
        <w:t xml:space="preserve"> do regime de </w:t>
      </w:r>
      <w:r w:rsidR="006C3F31" w:rsidRPr="00F072BB">
        <w:rPr>
          <w:rFonts w:ascii="Arial" w:hAnsi="Arial" w:cs="Arial"/>
          <w:i/>
          <w:lang w:val="pt-BR"/>
        </w:rPr>
        <w:t>safe harbour</w:t>
      </w:r>
      <w:r w:rsidRPr="00F072BB">
        <w:rPr>
          <w:rFonts w:ascii="Arial" w:hAnsi="Arial" w:cs="Arial"/>
          <w:lang w:val="pt-BR"/>
        </w:rPr>
        <w:t xml:space="preserve">. </w:t>
      </w:r>
      <w:r w:rsidR="00C21F7A" w:rsidRPr="00F072BB">
        <w:rPr>
          <w:rFonts w:ascii="Arial" w:hAnsi="Arial" w:cs="Arial"/>
          <w:lang w:val="pt-BR"/>
        </w:rPr>
        <w:t>Dessa forma,</w:t>
      </w:r>
      <w:r w:rsidRPr="00F072BB">
        <w:rPr>
          <w:rFonts w:ascii="Arial" w:hAnsi="Arial" w:cs="Arial"/>
          <w:lang w:val="pt-BR"/>
        </w:rPr>
        <w:t xml:space="preserve"> foi determinado o método específico aplicável sob esse regime, bem como a abordagem </w:t>
      </w:r>
      <w:r w:rsidR="006C3F31" w:rsidRPr="00F072BB">
        <w:rPr>
          <w:rFonts w:ascii="Arial" w:hAnsi="Arial" w:cs="Arial"/>
          <w:lang w:val="pt-BR"/>
        </w:rPr>
        <w:t>de sua aplicação, o indicador do</w:t>
      </w:r>
      <w:r w:rsidRPr="00F072BB">
        <w:rPr>
          <w:rFonts w:ascii="Arial" w:hAnsi="Arial" w:cs="Arial"/>
          <w:lang w:val="pt-BR"/>
        </w:rPr>
        <w:t xml:space="preserve"> nível de lucro apropriado e a margem de lucro, </w:t>
      </w:r>
      <w:r w:rsidR="00C21F7A" w:rsidRPr="00F072BB">
        <w:rPr>
          <w:rFonts w:ascii="Arial" w:hAnsi="Arial" w:cs="Arial"/>
          <w:lang w:val="pt-BR"/>
        </w:rPr>
        <w:t xml:space="preserve">a fim </w:t>
      </w:r>
      <w:r w:rsidRPr="00F072BB">
        <w:rPr>
          <w:rFonts w:ascii="Arial" w:hAnsi="Arial" w:cs="Arial"/>
          <w:lang w:val="pt-BR"/>
        </w:rPr>
        <w:t xml:space="preserve">de </w:t>
      </w:r>
      <w:r w:rsidR="00A62128" w:rsidRPr="00F072BB">
        <w:rPr>
          <w:rFonts w:ascii="Arial" w:hAnsi="Arial" w:cs="Arial"/>
          <w:lang w:val="pt-BR"/>
        </w:rPr>
        <w:t xml:space="preserve">que os contribuintes que aplicam esse regime tenham resultados </w:t>
      </w:r>
      <w:r w:rsidR="008D7363" w:rsidRPr="00F072BB">
        <w:rPr>
          <w:rFonts w:ascii="Arial" w:hAnsi="Arial" w:cs="Arial"/>
          <w:lang w:val="pt-BR"/>
        </w:rPr>
        <w:t xml:space="preserve">confiáveis </w:t>
      </w:r>
      <w:r w:rsidR="00A62128" w:rsidRPr="00F072BB">
        <w:rPr>
          <w:rFonts w:ascii="Arial" w:hAnsi="Arial" w:cs="Arial"/>
          <w:lang w:val="pt-BR"/>
        </w:rPr>
        <w:t xml:space="preserve">próximos ao </w:t>
      </w:r>
      <w:r w:rsidR="00A62128" w:rsidRPr="00F072BB">
        <w:rPr>
          <w:rFonts w:ascii="Arial" w:hAnsi="Arial" w:cs="Arial"/>
          <w:i/>
          <w:lang w:val="pt-BR"/>
        </w:rPr>
        <w:t>arm’s</w:t>
      </w:r>
      <w:r w:rsidR="008D7363" w:rsidRPr="00F072BB">
        <w:rPr>
          <w:rFonts w:ascii="Arial" w:hAnsi="Arial" w:cs="Arial"/>
          <w:i/>
          <w:lang w:val="pt-BR"/>
        </w:rPr>
        <w:t xml:space="preserve"> length</w:t>
      </w:r>
      <w:r w:rsidR="006C3F31" w:rsidRPr="00F072BB">
        <w:rPr>
          <w:rFonts w:ascii="Arial" w:hAnsi="Arial" w:cs="Arial"/>
          <w:lang w:val="pt-BR"/>
        </w:rPr>
        <w:t>.</w:t>
      </w:r>
    </w:p>
    <w:p w14:paraId="216D715C" w14:textId="7B4A11E6" w:rsidR="001A13FB" w:rsidRPr="00F072BB" w:rsidRDefault="001A13FB" w:rsidP="003F176E">
      <w:pPr>
        <w:pStyle w:val="Num-DocParagraph"/>
        <w:ind w:left="720"/>
        <w:rPr>
          <w:rFonts w:ascii="Arial" w:hAnsi="Arial" w:cs="Arial"/>
          <w:lang w:val="pt-BR"/>
        </w:rPr>
      </w:pPr>
      <w:r w:rsidRPr="00F072BB">
        <w:rPr>
          <w:rFonts w:ascii="Arial" w:hAnsi="Arial" w:cs="Arial"/>
          <w:lang w:val="pt-BR"/>
        </w:rPr>
        <w:t>3) No processo de determinação do método apropriado e do indicador do nível de lucro, juntamente com a margem de lucro aplicável, foram analisados os dados disponíveis</w:t>
      </w:r>
      <w:r w:rsidR="0009048C" w:rsidRPr="00F072BB">
        <w:rPr>
          <w:rFonts w:ascii="Arial" w:hAnsi="Arial" w:cs="Arial"/>
          <w:lang w:val="pt-BR"/>
        </w:rPr>
        <w:t xml:space="preserve"> (ainda que limitados)</w:t>
      </w:r>
      <w:r w:rsidRPr="00F072BB">
        <w:rPr>
          <w:rFonts w:ascii="Arial" w:hAnsi="Arial" w:cs="Arial"/>
          <w:lang w:val="pt-BR"/>
        </w:rPr>
        <w:t xml:space="preserve"> sobre transações não controladas comparáveis. Para garantir a confiabilidade desses dados, foi feita uma análise adicional dos dados disponíveis </w:t>
      </w:r>
      <w:r w:rsidR="0009048C" w:rsidRPr="00F072BB">
        <w:rPr>
          <w:rFonts w:ascii="Arial" w:hAnsi="Arial" w:cs="Arial"/>
          <w:lang w:val="pt-BR"/>
        </w:rPr>
        <w:t>à</w:t>
      </w:r>
      <w:r w:rsidRPr="00F072BB">
        <w:rPr>
          <w:rFonts w:ascii="Arial" w:hAnsi="Arial" w:cs="Arial"/>
          <w:lang w:val="pt-BR"/>
        </w:rPr>
        <w:t xml:space="preserve"> administração tributária, com base nas declarações fiscais apresentadas pelos contribuintes envolvidos em transações não controladas. Além disso, foram analisados os dados disponíveis sobre transações não controladas comparáveis realizadas por contribuintes em outras jurisdições, levando em consideração as especificidades dessas outras jurisdições. </w:t>
      </w:r>
      <w:r w:rsidR="0009048C" w:rsidRPr="00F072BB">
        <w:rPr>
          <w:rFonts w:ascii="Arial" w:hAnsi="Arial" w:cs="Arial"/>
          <w:lang w:val="pt-BR"/>
        </w:rPr>
        <w:t>Por fim</w:t>
      </w:r>
      <w:r w:rsidRPr="00F072BB">
        <w:rPr>
          <w:rFonts w:ascii="Arial" w:hAnsi="Arial" w:cs="Arial"/>
          <w:lang w:val="pt-BR"/>
        </w:rPr>
        <w:t xml:space="preserve">, </w:t>
      </w:r>
      <w:r w:rsidR="00396E9A" w:rsidRPr="00F072BB">
        <w:rPr>
          <w:rFonts w:ascii="Arial" w:hAnsi="Arial" w:cs="Arial"/>
          <w:lang w:val="pt-BR"/>
        </w:rPr>
        <w:t xml:space="preserve">consultas acerca dos resultados pretendidos do regime de </w:t>
      </w:r>
      <w:r w:rsidR="00396E9A" w:rsidRPr="00F072BB">
        <w:rPr>
          <w:rFonts w:ascii="Arial" w:hAnsi="Arial" w:cs="Arial"/>
          <w:i/>
          <w:lang w:val="pt-BR"/>
        </w:rPr>
        <w:t xml:space="preserve">safe harbour </w:t>
      </w:r>
      <w:r w:rsidR="00396E9A" w:rsidRPr="00F072BB">
        <w:rPr>
          <w:rFonts w:ascii="Arial" w:hAnsi="Arial" w:cs="Arial"/>
          <w:lang w:val="pt-BR"/>
        </w:rPr>
        <w:t xml:space="preserve">foram realizadas </w:t>
      </w:r>
      <w:r w:rsidRPr="00F072BB">
        <w:rPr>
          <w:rFonts w:ascii="Arial" w:hAnsi="Arial" w:cs="Arial"/>
          <w:lang w:val="pt-BR"/>
        </w:rPr>
        <w:t xml:space="preserve">com as administrações </w:t>
      </w:r>
      <w:r w:rsidRPr="00F072BB">
        <w:rPr>
          <w:rFonts w:ascii="Arial" w:hAnsi="Arial" w:cs="Arial"/>
          <w:lang w:val="pt-BR"/>
        </w:rPr>
        <w:lastRenderedPageBreak/>
        <w:t xml:space="preserve">tributárias das principais jurisdições dos parceiros comerciais potencialmente afetados pelos resultados desse regime para garantir que quaisquer resultados adversos potenciais sejam identificados antecipadamente e refletidos no </w:t>
      </w:r>
      <w:r w:rsidR="0009048C" w:rsidRPr="00F072BB">
        <w:rPr>
          <w:rFonts w:ascii="Arial" w:hAnsi="Arial" w:cs="Arial"/>
          <w:lang w:val="pt-BR"/>
        </w:rPr>
        <w:t>desenho</w:t>
      </w:r>
      <w:r w:rsidRPr="00F072BB">
        <w:rPr>
          <w:rFonts w:ascii="Arial" w:hAnsi="Arial" w:cs="Arial"/>
          <w:lang w:val="pt-BR"/>
        </w:rPr>
        <w:t xml:space="preserve"> do </w:t>
      </w:r>
      <w:r w:rsidR="0009048C" w:rsidRPr="00F072BB">
        <w:rPr>
          <w:rFonts w:ascii="Arial" w:hAnsi="Arial" w:cs="Arial"/>
          <w:i/>
          <w:lang w:val="pt-BR"/>
        </w:rPr>
        <w:t>safe harbour</w:t>
      </w:r>
      <w:r w:rsidRPr="00F072BB">
        <w:rPr>
          <w:rFonts w:ascii="Arial" w:hAnsi="Arial" w:cs="Arial"/>
          <w:lang w:val="pt-BR"/>
        </w:rPr>
        <w:t>.</w:t>
      </w:r>
    </w:p>
    <w:p w14:paraId="1FF917DB" w14:textId="40F056CD" w:rsidR="001A13FB" w:rsidRPr="00E55FD7" w:rsidRDefault="00E55FD7" w:rsidP="00024A9C">
      <w:pPr>
        <w:pStyle w:val="Num-DocParagraph"/>
        <w:rPr>
          <w:rFonts w:ascii="Arial" w:hAnsi="Arial" w:cs="Arial"/>
          <w:lang w:val="pt-BR"/>
        </w:rPr>
      </w:pPr>
      <w:r w:rsidRPr="00F072BB">
        <w:rPr>
          <w:rFonts w:ascii="Arial" w:hAnsi="Arial" w:cs="Arial"/>
        </w:rPr>
        <w:fldChar w:fldCharType="begin"/>
      </w:r>
      <w:r>
        <w:rPr>
          <w:rFonts w:ascii="Arial" w:hAnsi="Arial" w:cs="Arial"/>
          <w:lang w:val="pt-BR"/>
        </w:rPr>
        <w:instrText xml:space="preserve"> MACROBUTTON NUMBERING 14</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1A13FB" w:rsidRPr="00F072BB">
        <w:rPr>
          <w:rFonts w:ascii="Arial" w:hAnsi="Arial" w:cs="Arial"/>
          <w:lang w:val="pt-BR"/>
        </w:rPr>
        <w:t xml:space="preserve">Como observado acima, o objetivo do regime de </w:t>
      </w:r>
      <w:r w:rsidR="001A13FB" w:rsidRPr="00F072BB">
        <w:rPr>
          <w:rFonts w:ascii="Arial" w:hAnsi="Arial" w:cs="Arial"/>
          <w:i/>
          <w:lang w:val="pt-BR"/>
        </w:rPr>
        <w:t>safe harbour</w:t>
      </w:r>
      <w:r w:rsidR="001A13FB" w:rsidRPr="00F072BB">
        <w:rPr>
          <w:rFonts w:ascii="Arial" w:hAnsi="Arial" w:cs="Arial"/>
          <w:lang w:val="pt-BR"/>
        </w:rPr>
        <w:t xml:space="preserve"> </w:t>
      </w:r>
      <w:r w:rsidR="00C351E0" w:rsidRPr="00F072BB">
        <w:rPr>
          <w:rFonts w:ascii="Arial" w:hAnsi="Arial" w:cs="Arial"/>
          <w:lang w:val="pt-BR"/>
        </w:rPr>
        <w:t xml:space="preserve">é </w:t>
      </w:r>
      <w:r w:rsidR="001A13FB" w:rsidRPr="00F072BB">
        <w:rPr>
          <w:rFonts w:ascii="Arial" w:hAnsi="Arial" w:cs="Arial"/>
          <w:lang w:val="pt-BR"/>
        </w:rPr>
        <w:t xml:space="preserve">fornecer uma abordagem padronizada para </w:t>
      </w:r>
      <w:r w:rsidR="00F6360D">
        <w:rPr>
          <w:rFonts w:ascii="Arial" w:hAnsi="Arial" w:cs="Arial"/>
          <w:lang w:val="pt-BR"/>
        </w:rPr>
        <w:t xml:space="preserve">determinar ou </w:t>
      </w:r>
      <w:r w:rsidR="001A13FB" w:rsidRPr="00F072BB">
        <w:rPr>
          <w:rFonts w:ascii="Arial" w:hAnsi="Arial" w:cs="Arial"/>
          <w:lang w:val="pt-BR"/>
        </w:rPr>
        <w:t>aproximar o resultado</w:t>
      </w:r>
      <w:r w:rsidR="0009048C" w:rsidRPr="00F072BB">
        <w:rPr>
          <w:rFonts w:ascii="Arial" w:hAnsi="Arial" w:cs="Arial"/>
          <w:lang w:val="pt-BR"/>
        </w:rPr>
        <w:t xml:space="preserve"> </w:t>
      </w:r>
      <w:r w:rsidR="0009048C" w:rsidRPr="00F072BB">
        <w:rPr>
          <w:rFonts w:ascii="Arial" w:hAnsi="Arial" w:cs="Arial"/>
          <w:i/>
          <w:lang w:val="pt-BR"/>
        </w:rPr>
        <w:t>ao arm’s length</w:t>
      </w:r>
      <w:r w:rsidR="001A13FB" w:rsidRPr="00F072BB">
        <w:rPr>
          <w:rFonts w:ascii="Arial" w:hAnsi="Arial" w:cs="Arial"/>
          <w:lang w:val="pt-BR"/>
        </w:rPr>
        <w:t xml:space="preserve"> para grupos de contribuintes,</w:t>
      </w:r>
      <w:r w:rsidR="00F6360D">
        <w:rPr>
          <w:rFonts w:ascii="Arial" w:hAnsi="Arial" w:cs="Arial"/>
          <w:lang w:val="pt-BR"/>
        </w:rPr>
        <w:t xml:space="preserve"> </w:t>
      </w:r>
      <w:r w:rsidR="00F6360D" w:rsidRPr="00F072BB">
        <w:rPr>
          <w:rFonts w:ascii="Arial" w:hAnsi="Arial" w:cs="Arial"/>
          <w:lang w:val="pt-BR"/>
        </w:rPr>
        <w:t xml:space="preserve">ou </w:t>
      </w:r>
      <w:r w:rsidR="00F6360D">
        <w:rPr>
          <w:rFonts w:ascii="Arial" w:hAnsi="Arial" w:cs="Arial"/>
          <w:lang w:val="pt-BR"/>
        </w:rPr>
        <w:t>para</w:t>
      </w:r>
      <w:r w:rsidR="00F6360D" w:rsidRPr="00F072BB">
        <w:rPr>
          <w:rFonts w:ascii="Arial" w:hAnsi="Arial" w:cs="Arial"/>
          <w:lang w:val="pt-BR"/>
        </w:rPr>
        <w:t xml:space="preserve"> fornecer orientação simplificada em relação à conformidade tributária de processos complexos e onerosos</w:t>
      </w:r>
      <w:r w:rsidR="00F6360D">
        <w:rPr>
          <w:rFonts w:ascii="Arial" w:hAnsi="Arial" w:cs="Arial"/>
          <w:lang w:val="pt-BR"/>
        </w:rPr>
        <w:t>,</w:t>
      </w:r>
      <w:r w:rsidR="001A13FB" w:rsidRPr="00F072BB">
        <w:rPr>
          <w:rFonts w:ascii="Arial" w:hAnsi="Arial" w:cs="Arial"/>
          <w:lang w:val="pt-BR"/>
        </w:rPr>
        <w:t xml:space="preserve"> onde é razoável padronizar esses resultados. Dados os esforços necessário</w:t>
      </w:r>
      <w:r w:rsidR="0009048C" w:rsidRPr="00F072BB">
        <w:rPr>
          <w:rFonts w:ascii="Arial" w:hAnsi="Arial" w:cs="Arial"/>
          <w:lang w:val="pt-BR"/>
        </w:rPr>
        <w:t xml:space="preserve">s para projetar </w:t>
      </w:r>
      <w:r w:rsidR="00C351E0" w:rsidRPr="00F072BB">
        <w:rPr>
          <w:rFonts w:ascii="Arial" w:hAnsi="Arial" w:cs="Arial"/>
          <w:lang w:val="pt-BR"/>
        </w:rPr>
        <w:t xml:space="preserve">um </w:t>
      </w:r>
      <w:r w:rsidR="0009048C" w:rsidRPr="00F072BB">
        <w:rPr>
          <w:rFonts w:ascii="Arial" w:hAnsi="Arial" w:cs="Arial"/>
          <w:i/>
          <w:lang w:val="pt-BR"/>
        </w:rPr>
        <w:t>safe harbour</w:t>
      </w:r>
      <w:r w:rsidR="001A13FB" w:rsidRPr="00F072BB">
        <w:rPr>
          <w:rFonts w:ascii="Arial" w:hAnsi="Arial" w:cs="Arial"/>
          <w:lang w:val="pt-BR"/>
        </w:rPr>
        <w:t>, talvez</w:t>
      </w:r>
      <w:r w:rsidR="0009048C" w:rsidRPr="00F072BB">
        <w:rPr>
          <w:rFonts w:ascii="Arial" w:hAnsi="Arial" w:cs="Arial"/>
          <w:lang w:val="pt-BR"/>
        </w:rPr>
        <w:t xml:space="preserve"> esse</w:t>
      </w:r>
      <w:r w:rsidR="001A13FB" w:rsidRPr="00F072BB">
        <w:rPr>
          <w:rFonts w:ascii="Arial" w:hAnsi="Arial" w:cs="Arial"/>
          <w:lang w:val="pt-BR"/>
        </w:rPr>
        <w:t xml:space="preserve"> não seja o instrumento mais eficaz para os contribuintes que estão em situações significativamente diferentes entre si ou cujas circunstâncias são tão únicas e complexas que </w:t>
      </w:r>
      <w:r w:rsidR="0009048C" w:rsidRPr="00F072BB">
        <w:rPr>
          <w:rFonts w:ascii="Arial" w:hAnsi="Arial" w:cs="Arial"/>
          <w:lang w:val="pt-BR"/>
        </w:rPr>
        <w:t xml:space="preserve"> </w:t>
      </w:r>
      <w:r w:rsidR="00C351E0" w:rsidRPr="00F072BB">
        <w:rPr>
          <w:rFonts w:ascii="Arial" w:hAnsi="Arial" w:cs="Arial"/>
          <w:lang w:val="pt-BR"/>
        </w:rPr>
        <w:t>in</w:t>
      </w:r>
      <w:r w:rsidR="0009048C" w:rsidRPr="00F072BB">
        <w:rPr>
          <w:rFonts w:ascii="Arial" w:hAnsi="Arial" w:cs="Arial"/>
          <w:lang w:val="pt-BR"/>
        </w:rPr>
        <w:t>viabilizar</w:t>
      </w:r>
      <w:r w:rsidR="00C351E0" w:rsidRPr="00F072BB">
        <w:rPr>
          <w:rFonts w:ascii="Arial" w:hAnsi="Arial" w:cs="Arial"/>
          <w:lang w:val="pt-BR"/>
        </w:rPr>
        <w:t>ia</w:t>
      </w:r>
      <w:r w:rsidR="0009048C" w:rsidRPr="00F072BB">
        <w:rPr>
          <w:rFonts w:ascii="Arial" w:hAnsi="Arial" w:cs="Arial"/>
          <w:lang w:val="pt-BR"/>
        </w:rPr>
        <w:t xml:space="preserve"> a criação </w:t>
      </w:r>
      <w:r w:rsidR="001A13FB" w:rsidRPr="00F072BB">
        <w:rPr>
          <w:rFonts w:ascii="Arial" w:hAnsi="Arial" w:cs="Arial"/>
          <w:lang w:val="pt-BR"/>
        </w:rPr>
        <w:t xml:space="preserve">de uma abordagem padronizada. Conforme declarado nas Diretrizes da OCDE, </w:t>
      </w:r>
      <w:r w:rsidR="001A13FB" w:rsidRPr="00F072BB">
        <w:rPr>
          <w:rFonts w:ascii="Arial" w:hAnsi="Arial" w:cs="Arial"/>
          <w:i/>
          <w:lang w:val="pt-BR"/>
        </w:rPr>
        <w:t xml:space="preserve">"para questões de preço de transferência </w:t>
      </w:r>
      <w:r w:rsidR="00764EFF" w:rsidRPr="00F072BB">
        <w:rPr>
          <w:rFonts w:ascii="Arial" w:hAnsi="Arial" w:cs="Arial"/>
          <w:i/>
          <w:lang w:val="pt-BR"/>
        </w:rPr>
        <w:t>mais complexas</w:t>
      </w:r>
      <w:r w:rsidR="001A13FB" w:rsidRPr="00F072BB">
        <w:rPr>
          <w:rFonts w:ascii="Arial" w:hAnsi="Arial" w:cs="Arial"/>
          <w:i/>
          <w:lang w:val="pt-BR"/>
        </w:rPr>
        <w:t xml:space="preserve"> e </w:t>
      </w:r>
      <w:r w:rsidR="00764EFF" w:rsidRPr="00F072BB">
        <w:rPr>
          <w:rFonts w:ascii="Arial" w:hAnsi="Arial" w:cs="Arial"/>
          <w:i/>
          <w:lang w:val="pt-BR"/>
        </w:rPr>
        <w:t>de maior risco</w:t>
      </w:r>
      <w:r w:rsidR="001A13FB" w:rsidRPr="00F072BB">
        <w:rPr>
          <w:rFonts w:ascii="Arial" w:hAnsi="Arial" w:cs="Arial"/>
          <w:i/>
          <w:lang w:val="pt-BR"/>
        </w:rPr>
        <w:t xml:space="preserve">, é improvável que </w:t>
      </w:r>
      <w:r w:rsidR="00764EFF" w:rsidRPr="00F072BB">
        <w:rPr>
          <w:rFonts w:ascii="Arial" w:hAnsi="Arial" w:cs="Arial"/>
          <w:i/>
          <w:lang w:val="pt-BR"/>
        </w:rPr>
        <w:t>safe harbours</w:t>
      </w:r>
      <w:r w:rsidR="001A13FB" w:rsidRPr="00F072BB">
        <w:rPr>
          <w:rFonts w:ascii="Arial" w:hAnsi="Arial" w:cs="Arial"/>
          <w:i/>
          <w:lang w:val="pt-BR"/>
        </w:rPr>
        <w:t xml:space="preserve"> forneçam uma alternativa viável </w:t>
      </w:r>
      <w:r w:rsidR="00764EFF" w:rsidRPr="00F072BB">
        <w:rPr>
          <w:rFonts w:ascii="Arial" w:hAnsi="Arial" w:cs="Arial"/>
          <w:i/>
          <w:lang w:val="pt-BR"/>
        </w:rPr>
        <w:t>para</w:t>
      </w:r>
      <w:r w:rsidR="001A13FB" w:rsidRPr="00F072BB">
        <w:rPr>
          <w:rFonts w:ascii="Arial" w:hAnsi="Arial" w:cs="Arial"/>
          <w:i/>
          <w:lang w:val="pt-BR"/>
        </w:rPr>
        <w:t xml:space="preserve"> uma aplicação rigorosa caso a caso do princípio </w:t>
      </w:r>
      <w:r w:rsidR="00764EFF" w:rsidRPr="00F072BB">
        <w:rPr>
          <w:rFonts w:ascii="Arial" w:hAnsi="Arial" w:cs="Arial"/>
          <w:i/>
          <w:lang w:val="pt-BR"/>
        </w:rPr>
        <w:t>arm’s length</w:t>
      </w:r>
      <w:r w:rsidR="001A13FB" w:rsidRPr="00F072BB">
        <w:rPr>
          <w:rFonts w:ascii="Arial" w:hAnsi="Arial" w:cs="Arial"/>
          <w:i/>
          <w:lang w:val="pt-BR"/>
        </w:rPr>
        <w:t>".</w:t>
      </w:r>
      <w:r w:rsidR="00F6360D">
        <w:rPr>
          <w:rStyle w:val="FootnoteReference"/>
          <w:rFonts w:ascii="Arial" w:hAnsi="Arial" w:cs="Arial"/>
          <w:i/>
          <w:lang w:val="pt-BR"/>
        </w:rPr>
        <w:footnoteReference w:id="8"/>
      </w:r>
      <w:r w:rsidR="001A13FB" w:rsidRPr="00F072BB">
        <w:rPr>
          <w:rFonts w:ascii="Arial" w:hAnsi="Arial" w:cs="Arial"/>
          <w:lang w:val="pt-BR"/>
        </w:rPr>
        <w:t xml:space="preserve"> Para tais casos, uma análise completa do preço de transferência, examinando todos os aspectos e especificidades relevantes da transação, tende a produzir resultados mais adequados. Isso se deve principalmente ao fato de que</w:t>
      </w:r>
      <w:r w:rsidR="00CF6F19" w:rsidRPr="00F072BB">
        <w:rPr>
          <w:rFonts w:ascii="Arial" w:hAnsi="Arial" w:cs="Arial"/>
          <w:lang w:val="pt-BR"/>
        </w:rPr>
        <w:t xml:space="preserve"> as características </w:t>
      </w:r>
      <w:r w:rsidR="001A13FB" w:rsidRPr="00E55FD7">
        <w:rPr>
          <w:rFonts w:ascii="Arial" w:hAnsi="Arial" w:cs="Arial"/>
          <w:lang w:val="pt-BR"/>
        </w:rPr>
        <w:t>únic</w:t>
      </w:r>
      <w:r w:rsidR="00CF6F19" w:rsidRPr="00E55FD7">
        <w:rPr>
          <w:rFonts w:ascii="Arial" w:hAnsi="Arial" w:cs="Arial"/>
          <w:lang w:val="pt-BR"/>
        </w:rPr>
        <w:t xml:space="preserve">as </w:t>
      </w:r>
      <w:r w:rsidR="001A13FB" w:rsidRPr="00E55FD7">
        <w:rPr>
          <w:rFonts w:ascii="Arial" w:hAnsi="Arial" w:cs="Arial"/>
          <w:lang w:val="pt-BR"/>
        </w:rPr>
        <w:t>e complex</w:t>
      </w:r>
      <w:r w:rsidR="00CF6F19" w:rsidRPr="00E55FD7">
        <w:rPr>
          <w:rFonts w:ascii="Arial" w:hAnsi="Arial" w:cs="Arial"/>
          <w:lang w:val="pt-BR"/>
        </w:rPr>
        <w:t>as</w:t>
      </w:r>
      <w:r w:rsidR="001A13FB" w:rsidRPr="00E55FD7">
        <w:rPr>
          <w:rFonts w:ascii="Arial" w:hAnsi="Arial" w:cs="Arial"/>
          <w:lang w:val="pt-BR"/>
        </w:rPr>
        <w:t xml:space="preserve"> das transações</w:t>
      </w:r>
      <w:r w:rsidR="00867A7D" w:rsidRPr="00E55FD7">
        <w:rPr>
          <w:rFonts w:ascii="Arial" w:hAnsi="Arial" w:cs="Arial"/>
          <w:lang w:val="pt-BR"/>
        </w:rPr>
        <w:t>, assim como suas principais</w:t>
      </w:r>
      <w:r w:rsidR="00CF6F19" w:rsidRPr="00E55FD7">
        <w:rPr>
          <w:rFonts w:ascii="Arial" w:hAnsi="Arial" w:cs="Arial"/>
          <w:lang w:val="pt-BR"/>
        </w:rPr>
        <w:t xml:space="preserve"> diferenças, não </w:t>
      </w:r>
      <w:r w:rsidR="00867A7D" w:rsidRPr="00E55FD7">
        <w:rPr>
          <w:rFonts w:ascii="Arial" w:hAnsi="Arial" w:cs="Arial"/>
          <w:lang w:val="pt-BR"/>
        </w:rPr>
        <w:t>possibilitam</w:t>
      </w:r>
      <w:r w:rsidR="00CF6F19" w:rsidRPr="00E55FD7">
        <w:rPr>
          <w:rFonts w:ascii="Arial" w:hAnsi="Arial" w:cs="Arial"/>
          <w:lang w:val="pt-BR"/>
        </w:rPr>
        <w:t xml:space="preserve"> </w:t>
      </w:r>
      <w:r w:rsidR="001A13FB" w:rsidRPr="00E55FD7">
        <w:rPr>
          <w:rFonts w:ascii="Arial" w:hAnsi="Arial" w:cs="Arial"/>
          <w:lang w:val="pt-BR"/>
        </w:rPr>
        <w:t>o desenvolvimento de uma abordagem confiável e padronizada que possa ser igualmente relevante e aplicável a outros contribuintes.</w:t>
      </w:r>
    </w:p>
    <w:p w14:paraId="44F84B94" w14:textId="36210B56" w:rsidR="001A13FB" w:rsidRPr="00E55FD7" w:rsidRDefault="00E55FD7" w:rsidP="00944BE2">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w:instrText>
      </w:r>
      <w:r>
        <w:rPr>
          <w:rFonts w:ascii="Arial" w:hAnsi="Arial" w:cs="Arial"/>
          <w:lang w:val="pt-BR"/>
        </w:rPr>
        <w:instrText>5</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1A13FB" w:rsidRPr="00E55FD7">
        <w:rPr>
          <w:rFonts w:ascii="Arial" w:hAnsi="Arial" w:cs="Arial"/>
          <w:lang w:val="pt-BR"/>
        </w:rPr>
        <w:t xml:space="preserve">Para transações únicas </w:t>
      </w:r>
      <w:r w:rsidR="00453998" w:rsidRPr="00E55FD7">
        <w:rPr>
          <w:rFonts w:ascii="Arial" w:hAnsi="Arial" w:cs="Arial"/>
          <w:lang w:val="pt-BR"/>
        </w:rPr>
        <w:t>ou complexas e de alto risco, a</w:t>
      </w:r>
      <w:r w:rsidR="00025433" w:rsidRPr="00E55FD7">
        <w:rPr>
          <w:rFonts w:ascii="Arial" w:hAnsi="Arial" w:cs="Arial"/>
          <w:lang w:val="pt-BR"/>
        </w:rPr>
        <w:t xml:space="preserve"> estrutura </w:t>
      </w:r>
      <w:r w:rsidR="001A13FB" w:rsidRPr="00E55FD7">
        <w:rPr>
          <w:rFonts w:ascii="Arial" w:hAnsi="Arial" w:cs="Arial"/>
          <w:lang w:val="pt-BR"/>
        </w:rPr>
        <w:t>da OCDE oferece outros mecanismos que também são capazes de fornecer segurança e previsibilidade aos contribuintes e às administrações tributárias, reduzindo o ris</w:t>
      </w:r>
      <w:r w:rsidR="00453998" w:rsidRPr="00E55FD7">
        <w:rPr>
          <w:rFonts w:ascii="Arial" w:hAnsi="Arial" w:cs="Arial"/>
          <w:lang w:val="pt-BR"/>
        </w:rPr>
        <w:t xml:space="preserve">co de disputas - por exemplo, </w:t>
      </w:r>
      <w:r w:rsidR="00EC7DEF" w:rsidRPr="00E55FD7">
        <w:rPr>
          <w:rFonts w:ascii="Arial" w:hAnsi="Arial" w:cs="Arial"/>
          <w:lang w:val="pt-BR"/>
        </w:rPr>
        <w:t>o</w:t>
      </w:r>
      <w:r w:rsidR="00453998" w:rsidRPr="00E55FD7">
        <w:rPr>
          <w:rFonts w:ascii="Arial" w:hAnsi="Arial" w:cs="Arial"/>
          <w:lang w:val="pt-BR"/>
        </w:rPr>
        <w:t>s</w:t>
      </w:r>
      <w:r w:rsidR="001A13FB" w:rsidRPr="00E55FD7">
        <w:rPr>
          <w:rFonts w:ascii="Arial" w:hAnsi="Arial" w:cs="Arial"/>
          <w:lang w:val="pt-BR"/>
        </w:rPr>
        <w:t xml:space="preserve"> APAs.</w:t>
      </w:r>
    </w:p>
    <w:p w14:paraId="4C6D836F" w14:textId="54AEB85B" w:rsidR="001A13FB" w:rsidRPr="00F072BB" w:rsidRDefault="00451BD8" w:rsidP="008C5CD6">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w:instrText>
      </w:r>
      <w:r w:rsidR="00053194" w:rsidRPr="00F072BB">
        <w:rPr>
          <w:rFonts w:ascii="Arial" w:hAnsi="Arial" w:cs="Arial"/>
          <w:lang w:val="pt-BR"/>
        </w:rPr>
        <w:instrText>6</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1A13FB" w:rsidRPr="00F072BB">
        <w:rPr>
          <w:rFonts w:ascii="Arial" w:hAnsi="Arial" w:cs="Arial"/>
          <w:lang w:val="pt-BR"/>
        </w:rPr>
        <w:t xml:space="preserve">Um APA é um </w:t>
      </w:r>
      <w:r w:rsidR="00453998" w:rsidRPr="00F072BB">
        <w:rPr>
          <w:rFonts w:ascii="Arial" w:hAnsi="Arial" w:cs="Arial"/>
          <w:lang w:val="pt-BR"/>
        </w:rPr>
        <w:t>processo</w:t>
      </w:r>
      <w:r w:rsidR="001A13FB" w:rsidRPr="00F072BB">
        <w:rPr>
          <w:rFonts w:ascii="Arial" w:hAnsi="Arial" w:cs="Arial"/>
          <w:lang w:val="pt-BR"/>
        </w:rPr>
        <w:t xml:space="preserve"> que determina, antes das transações controladas, um conjunto apropriado de critérios (por exemplo, método, comparáveis ​​e ajustes adequados, premissas críticas sobre eventos futuros) para a determinação do preço de transferência para essas transações por um período fixo de tempo. Objetivos políticos semelhantes aos perseguidos por </w:t>
      </w:r>
      <w:r w:rsidR="00453998" w:rsidRPr="00F072BB">
        <w:rPr>
          <w:rFonts w:ascii="Arial" w:hAnsi="Arial" w:cs="Arial"/>
          <w:i/>
          <w:lang w:val="pt-BR"/>
        </w:rPr>
        <w:t>safe harbours</w:t>
      </w:r>
      <w:r w:rsidR="001A13FB" w:rsidRPr="00F072BB">
        <w:rPr>
          <w:rFonts w:ascii="Arial" w:hAnsi="Arial" w:cs="Arial"/>
          <w:lang w:val="pt-BR"/>
        </w:rPr>
        <w:t xml:space="preserve"> poderiam ser alcançados para questões de preço de transferência mais complexas e</w:t>
      </w:r>
      <w:r w:rsidR="00453998" w:rsidRPr="00F072BB">
        <w:rPr>
          <w:rFonts w:ascii="Arial" w:hAnsi="Arial" w:cs="Arial"/>
          <w:lang w:val="pt-BR"/>
        </w:rPr>
        <w:t xml:space="preserve"> de alto risco</w:t>
      </w:r>
      <w:r w:rsidR="001A13FB" w:rsidRPr="00F072BB">
        <w:rPr>
          <w:rFonts w:ascii="Arial" w:hAnsi="Arial" w:cs="Arial"/>
          <w:lang w:val="pt-BR"/>
        </w:rPr>
        <w:t xml:space="preserve"> por meio de APAs, pois nesses casos raramente haverá duas ou mais transações suficientemente semelhantes para justificar os esforços administrativos de projetar </w:t>
      </w:r>
      <w:r w:rsidR="00453998" w:rsidRPr="00F072BB">
        <w:rPr>
          <w:rFonts w:ascii="Arial" w:hAnsi="Arial" w:cs="Arial"/>
          <w:lang w:val="pt-BR"/>
        </w:rPr>
        <w:t>um</w:t>
      </w:r>
      <w:r w:rsidR="00453998" w:rsidRPr="00F072BB">
        <w:rPr>
          <w:rFonts w:ascii="Arial" w:hAnsi="Arial" w:cs="Arial"/>
          <w:i/>
          <w:lang w:val="pt-BR"/>
        </w:rPr>
        <w:t xml:space="preserve"> safe harbour</w:t>
      </w:r>
      <w:r w:rsidR="00453998" w:rsidRPr="00F072BB">
        <w:rPr>
          <w:rFonts w:ascii="Arial" w:hAnsi="Arial" w:cs="Arial"/>
          <w:lang w:val="pt-BR"/>
        </w:rPr>
        <w:t xml:space="preserve">. Em vez disso, </w:t>
      </w:r>
      <w:r w:rsidR="00B000D6" w:rsidRPr="00F072BB">
        <w:rPr>
          <w:rFonts w:ascii="Arial" w:hAnsi="Arial" w:cs="Arial"/>
          <w:lang w:val="pt-BR"/>
        </w:rPr>
        <w:t xml:space="preserve">uma estrutura legal </w:t>
      </w:r>
      <w:r w:rsidR="00453998" w:rsidRPr="00F072BB">
        <w:rPr>
          <w:rFonts w:ascii="Arial" w:hAnsi="Arial" w:cs="Arial"/>
          <w:lang w:val="pt-BR"/>
        </w:rPr>
        <w:t>de</w:t>
      </w:r>
      <w:r w:rsidR="001A13FB" w:rsidRPr="00F072BB">
        <w:rPr>
          <w:rFonts w:ascii="Arial" w:hAnsi="Arial" w:cs="Arial"/>
          <w:lang w:val="pt-BR"/>
        </w:rPr>
        <w:t xml:space="preserve"> APAs pode</w:t>
      </w:r>
      <w:r w:rsidR="00453998" w:rsidRPr="00F072BB">
        <w:rPr>
          <w:rFonts w:ascii="Arial" w:hAnsi="Arial" w:cs="Arial"/>
          <w:lang w:val="pt-BR"/>
        </w:rPr>
        <w:t xml:space="preserve"> ser projetado</w:t>
      </w:r>
      <w:r w:rsidR="001A13FB" w:rsidRPr="00F072BB">
        <w:rPr>
          <w:rFonts w:ascii="Arial" w:hAnsi="Arial" w:cs="Arial"/>
          <w:lang w:val="pt-BR"/>
        </w:rPr>
        <w:t xml:space="preserve"> para facilitar a conclusão de A</w:t>
      </w:r>
      <w:r w:rsidR="00453998" w:rsidRPr="00F072BB">
        <w:rPr>
          <w:rFonts w:ascii="Arial" w:hAnsi="Arial" w:cs="Arial"/>
          <w:lang w:val="pt-BR"/>
        </w:rPr>
        <w:t>PAs para um determinado setor/indústria</w:t>
      </w:r>
      <w:r w:rsidR="001A13FB" w:rsidRPr="00F072BB">
        <w:rPr>
          <w:rFonts w:ascii="Arial" w:hAnsi="Arial" w:cs="Arial"/>
          <w:lang w:val="pt-BR"/>
        </w:rPr>
        <w:t xml:space="preserve"> ou tipos específicos de transações mais complexas. A estrutura</w:t>
      </w:r>
      <w:r w:rsidR="00402FA5" w:rsidRPr="00F072BB">
        <w:rPr>
          <w:rFonts w:ascii="Arial" w:hAnsi="Arial" w:cs="Arial"/>
          <w:lang w:val="pt-BR"/>
        </w:rPr>
        <w:t xml:space="preserve"> legal</w:t>
      </w:r>
      <w:r w:rsidR="001A13FB" w:rsidRPr="00F072BB">
        <w:rPr>
          <w:rFonts w:ascii="Arial" w:hAnsi="Arial" w:cs="Arial"/>
          <w:lang w:val="pt-BR"/>
        </w:rPr>
        <w:t xml:space="preserve"> para </w:t>
      </w:r>
      <w:r w:rsidR="00402FA5" w:rsidRPr="00F072BB">
        <w:rPr>
          <w:rFonts w:ascii="Arial" w:hAnsi="Arial" w:cs="Arial"/>
          <w:lang w:val="pt-BR"/>
        </w:rPr>
        <w:t>o</w:t>
      </w:r>
      <w:r w:rsidR="00B000D6" w:rsidRPr="00F072BB">
        <w:rPr>
          <w:rFonts w:ascii="Arial" w:hAnsi="Arial" w:cs="Arial"/>
          <w:lang w:val="pt-BR"/>
        </w:rPr>
        <w:t>s</w:t>
      </w:r>
      <w:r w:rsidR="001A13FB" w:rsidRPr="00F072BB">
        <w:rPr>
          <w:rFonts w:ascii="Arial" w:hAnsi="Arial" w:cs="Arial"/>
          <w:lang w:val="pt-BR"/>
        </w:rPr>
        <w:t xml:space="preserve"> APAs pode ser usada para </w:t>
      </w:r>
      <w:r w:rsidR="00B000D6" w:rsidRPr="00F072BB">
        <w:rPr>
          <w:rFonts w:ascii="Arial" w:hAnsi="Arial" w:cs="Arial"/>
          <w:lang w:val="pt-BR"/>
        </w:rPr>
        <w:t>abarcar situações m</w:t>
      </w:r>
      <w:r w:rsidR="001A13FB" w:rsidRPr="00F072BB">
        <w:rPr>
          <w:rFonts w:ascii="Arial" w:hAnsi="Arial" w:cs="Arial"/>
          <w:lang w:val="pt-BR"/>
        </w:rPr>
        <w:t xml:space="preserve">ais complexas e de </w:t>
      </w:r>
      <w:r w:rsidR="00B000D6" w:rsidRPr="00F072BB">
        <w:rPr>
          <w:rFonts w:ascii="Arial" w:hAnsi="Arial" w:cs="Arial"/>
          <w:lang w:val="pt-BR"/>
        </w:rPr>
        <w:t xml:space="preserve">alto risco, uma vez que </w:t>
      </w:r>
      <w:r w:rsidR="00402FA5" w:rsidRPr="00F072BB">
        <w:rPr>
          <w:rFonts w:ascii="Arial" w:hAnsi="Arial" w:cs="Arial"/>
          <w:lang w:val="pt-BR"/>
        </w:rPr>
        <w:t>o</w:t>
      </w:r>
      <w:r w:rsidR="001A13FB" w:rsidRPr="00F072BB">
        <w:rPr>
          <w:rFonts w:ascii="Arial" w:hAnsi="Arial" w:cs="Arial"/>
          <w:lang w:val="pt-BR"/>
        </w:rPr>
        <w:t xml:space="preserve"> APA oferece uma oportunidade para o aprimoramento das condições específicas relevantes para os diferentes contribuintes, a fim de levar em conta condições específicas, circunstâncias e outros fatores</w:t>
      </w:r>
      <w:r w:rsidR="00B000D6" w:rsidRPr="00F072BB">
        <w:rPr>
          <w:rFonts w:ascii="Arial" w:hAnsi="Arial" w:cs="Arial"/>
          <w:lang w:val="pt-BR"/>
        </w:rPr>
        <w:t xml:space="preserve"> de comparabilidade – o que tornaria inadequada</w:t>
      </w:r>
      <w:r w:rsidR="001A13FB" w:rsidRPr="00F072BB">
        <w:rPr>
          <w:rFonts w:ascii="Arial" w:hAnsi="Arial" w:cs="Arial"/>
          <w:lang w:val="pt-BR"/>
        </w:rPr>
        <w:t xml:space="preserve"> </w:t>
      </w:r>
      <w:r w:rsidR="00B000D6" w:rsidRPr="00F072BB">
        <w:rPr>
          <w:rFonts w:ascii="Arial" w:hAnsi="Arial" w:cs="Arial"/>
          <w:lang w:val="pt-BR"/>
        </w:rPr>
        <w:t>a criação e aplicação</w:t>
      </w:r>
      <w:r w:rsidR="001A13FB" w:rsidRPr="00F072BB">
        <w:rPr>
          <w:rFonts w:ascii="Arial" w:hAnsi="Arial" w:cs="Arial"/>
          <w:lang w:val="pt-BR"/>
        </w:rPr>
        <w:t xml:space="preserve"> um regime de </w:t>
      </w:r>
      <w:r w:rsidR="00B000D6" w:rsidRPr="00F072BB">
        <w:rPr>
          <w:rFonts w:ascii="Arial" w:hAnsi="Arial" w:cs="Arial"/>
          <w:i/>
          <w:lang w:val="pt-BR"/>
        </w:rPr>
        <w:t>safe harbour</w:t>
      </w:r>
      <w:r w:rsidR="001A13FB" w:rsidRPr="00F072BB">
        <w:rPr>
          <w:rFonts w:ascii="Arial" w:hAnsi="Arial" w:cs="Arial"/>
          <w:i/>
          <w:lang w:val="pt-BR"/>
        </w:rPr>
        <w:t>.</w:t>
      </w:r>
    </w:p>
    <w:p w14:paraId="45DECB21" w14:textId="0F60500B" w:rsidR="00FA247B" w:rsidRPr="00F072BB" w:rsidRDefault="00451BD8" w:rsidP="00BB63FC">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w:instrText>
      </w:r>
      <w:r w:rsidR="00053194" w:rsidRPr="00F072BB">
        <w:rPr>
          <w:rFonts w:ascii="Arial" w:hAnsi="Arial" w:cs="Arial"/>
          <w:lang w:val="pt-BR"/>
        </w:rPr>
        <w:instrText>7</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FA247B" w:rsidRPr="00F072BB">
        <w:rPr>
          <w:rFonts w:ascii="Arial" w:hAnsi="Arial" w:cs="Arial"/>
          <w:lang w:val="pt-BR"/>
        </w:rPr>
        <w:t xml:space="preserve">Um dos méritos de um </w:t>
      </w:r>
      <w:r w:rsidR="00FA247B" w:rsidRPr="00F072BB">
        <w:rPr>
          <w:rFonts w:ascii="Arial" w:hAnsi="Arial" w:cs="Arial"/>
          <w:i/>
          <w:lang w:val="pt-BR"/>
        </w:rPr>
        <w:t>safe harbour</w:t>
      </w:r>
      <w:r w:rsidR="00FA247B" w:rsidRPr="00F072BB">
        <w:rPr>
          <w:rFonts w:ascii="Arial" w:hAnsi="Arial" w:cs="Arial"/>
          <w:lang w:val="pt-BR"/>
        </w:rPr>
        <w:t xml:space="preserve"> bem projetado é que </w:t>
      </w:r>
      <w:r w:rsidR="00C31640" w:rsidRPr="00F072BB">
        <w:rPr>
          <w:rFonts w:ascii="Arial" w:hAnsi="Arial" w:cs="Arial"/>
          <w:lang w:val="pt-BR"/>
        </w:rPr>
        <w:t xml:space="preserve">os contribuintes elegíveis </w:t>
      </w:r>
      <w:r w:rsidR="00FA247B" w:rsidRPr="00F072BB">
        <w:rPr>
          <w:rFonts w:ascii="Arial" w:hAnsi="Arial" w:cs="Arial"/>
          <w:lang w:val="pt-BR"/>
        </w:rPr>
        <w:t xml:space="preserve">pode reduzir a necessidade de encontrar dados comparáveis não controlados e realizar um estudo de </w:t>
      </w:r>
      <w:r w:rsidR="00FA247B" w:rsidRPr="00F072BB">
        <w:rPr>
          <w:rFonts w:ascii="Arial" w:hAnsi="Arial" w:cs="Arial"/>
          <w:i/>
          <w:lang w:val="pt-BR"/>
        </w:rPr>
        <w:t>benchmarking</w:t>
      </w:r>
      <w:r w:rsidR="00FA247B" w:rsidRPr="00F072BB">
        <w:rPr>
          <w:rFonts w:ascii="Arial" w:hAnsi="Arial" w:cs="Arial"/>
          <w:lang w:val="pt-BR"/>
        </w:rPr>
        <w:t xml:space="preserve"> em todos os casos</w:t>
      </w:r>
      <w:r w:rsidR="00025433" w:rsidRPr="00F072BB">
        <w:rPr>
          <w:rFonts w:ascii="Arial" w:hAnsi="Arial" w:cs="Arial"/>
          <w:lang w:val="pt-BR"/>
        </w:rPr>
        <w:t>.</w:t>
      </w:r>
      <w:r w:rsidR="00B000D6" w:rsidRPr="00F072BB">
        <w:rPr>
          <w:rFonts w:ascii="Arial" w:hAnsi="Arial" w:cs="Arial"/>
          <w:lang w:val="pt-BR"/>
        </w:rPr>
        <w:t xml:space="preserve"> </w:t>
      </w:r>
      <w:r w:rsidR="00B000D6" w:rsidRPr="00F072BB">
        <w:rPr>
          <w:rFonts w:ascii="Arial" w:hAnsi="Arial" w:cs="Arial"/>
          <w:i/>
          <w:lang w:val="pt-BR"/>
        </w:rPr>
        <w:t>Safe harbours</w:t>
      </w:r>
      <w:r w:rsidR="00FA247B" w:rsidRPr="00F072BB">
        <w:rPr>
          <w:rFonts w:ascii="Arial" w:hAnsi="Arial" w:cs="Arial"/>
          <w:lang w:val="pt-BR"/>
        </w:rPr>
        <w:t>, portanto, também são úteis em situações em que os dados comparáveis são escassos</w:t>
      </w:r>
      <w:r w:rsidR="00025433" w:rsidRPr="00F072BB">
        <w:rPr>
          <w:rFonts w:ascii="Arial" w:hAnsi="Arial" w:cs="Arial"/>
          <w:lang w:val="pt-BR"/>
        </w:rPr>
        <w:t xml:space="preserve">, eliminando as </w:t>
      </w:r>
      <w:r w:rsidR="00FA247B" w:rsidRPr="00F072BB">
        <w:rPr>
          <w:rFonts w:ascii="Arial" w:hAnsi="Arial" w:cs="Arial"/>
          <w:lang w:val="pt-BR"/>
        </w:rPr>
        <w:t xml:space="preserve">dificuldades decorrentes da ausência de dados comparáveis, especialmente porque eles podem ser </w:t>
      </w:r>
      <w:r w:rsidR="00FA247B" w:rsidRPr="00F072BB">
        <w:rPr>
          <w:rFonts w:ascii="Arial" w:hAnsi="Arial" w:cs="Arial"/>
          <w:lang w:val="pt-BR"/>
        </w:rPr>
        <w:lastRenderedPageBreak/>
        <w:t xml:space="preserve">projetados com base nas informações disponíveis </w:t>
      </w:r>
      <w:r w:rsidR="00B000D6" w:rsidRPr="00F072BB">
        <w:rPr>
          <w:rFonts w:ascii="Arial" w:hAnsi="Arial" w:cs="Arial"/>
          <w:lang w:val="pt-BR"/>
        </w:rPr>
        <w:t>à</w:t>
      </w:r>
      <w:r w:rsidR="00FA247B" w:rsidRPr="00F072BB">
        <w:rPr>
          <w:rFonts w:ascii="Arial" w:hAnsi="Arial" w:cs="Arial"/>
          <w:lang w:val="pt-BR"/>
        </w:rPr>
        <w:t xml:space="preserve"> administração tributária em bancos de dados internos, que podem não estar disponíveis em domínio público.</w:t>
      </w:r>
      <w:r w:rsidR="00D858D3" w:rsidRPr="00F072BB">
        <w:rPr>
          <w:rStyle w:val="FootnoteReference"/>
          <w:rFonts w:ascii="Arial" w:hAnsi="Arial" w:cs="Arial"/>
          <w:lang w:val="pt-BR"/>
        </w:rPr>
        <w:footnoteReference w:id="9"/>
      </w:r>
    </w:p>
    <w:p w14:paraId="1AB0D11E" w14:textId="389D8E57" w:rsidR="00FA247B" w:rsidRPr="00F072BB" w:rsidRDefault="00451BD8" w:rsidP="00BB63FC">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w:instrText>
      </w:r>
      <w:r w:rsidR="00053194" w:rsidRPr="00F072BB">
        <w:rPr>
          <w:rFonts w:ascii="Arial" w:hAnsi="Arial" w:cs="Arial"/>
          <w:lang w:val="pt-BR"/>
        </w:rPr>
        <w:instrText>8</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B000D6" w:rsidRPr="00F072BB">
        <w:rPr>
          <w:rFonts w:ascii="Arial" w:hAnsi="Arial" w:cs="Arial"/>
          <w:lang w:val="pt-BR"/>
        </w:rPr>
        <w:t xml:space="preserve">Poderá haver casos em </w:t>
      </w:r>
      <w:r w:rsidR="00FA247B" w:rsidRPr="00F072BB">
        <w:rPr>
          <w:rFonts w:ascii="Arial" w:hAnsi="Arial" w:cs="Arial"/>
          <w:lang w:val="pt-BR"/>
        </w:rPr>
        <w:t xml:space="preserve">que transações não controladas de mercados que não sejam </w:t>
      </w:r>
      <w:r w:rsidR="00B000D6" w:rsidRPr="00F072BB">
        <w:rPr>
          <w:rFonts w:ascii="Arial" w:hAnsi="Arial" w:cs="Arial"/>
          <w:lang w:val="pt-BR"/>
        </w:rPr>
        <w:t>o da</w:t>
      </w:r>
      <w:r w:rsidR="00FA247B" w:rsidRPr="00F072BB">
        <w:rPr>
          <w:rFonts w:ascii="Arial" w:hAnsi="Arial" w:cs="Arial"/>
          <w:lang w:val="pt-BR"/>
        </w:rPr>
        <w:t xml:space="preserve"> parte testada</w:t>
      </w:r>
      <w:r w:rsidR="00F6360D">
        <w:rPr>
          <w:rStyle w:val="FootnoteReference"/>
          <w:rFonts w:ascii="Arial" w:hAnsi="Arial" w:cs="Arial"/>
          <w:lang w:val="pt-BR"/>
        </w:rPr>
        <w:footnoteReference w:id="10"/>
      </w:r>
      <w:r w:rsidR="00FA247B" w:rsidRPr="00F072BB">
        <w:rPr>
          <w:rFonts w:ascii="Arial" w:hAnsi="Arial" w:cs="Arial"/>
          <w:lang w:val="pt-BR"/>
        </w:rPr>
        <w:t xml:space="preserve"> possam constituir comparáveis confiáveis ou podem ser aceitas e usadas como as melhores comparáveis disponíveis na ausência de comparáveis no mercado local. Onde comparáveis locais não estão disponíveis, os critérios de seleção geralmente enfatizam a proximidade geográfica na seleção de comparáveis </w:t>
      </w:r>
      <w:r w:rsidR="00B000D6" w:rsidRPr="00F072BB">
        <w:rPr>
          <w:rFonts w:ascii="Arial" w:hAnsi="Arial" w:cs="Arial"/>
          <w:lang w:val="pt-BR"/>
        </w:rPr>
        <w:t>provenientes do mercado externo</w:t>
      </w:r>
      <w:r w:rsidR="00FA247B" w:rsidRPr="00F072BB">
        <w:rPr>
          <w:rFonts w:ascii="Arial" w:hAnsi="Arial" w:cs="Arial"/>
          <w:lang w:val="pt-BR"/>
        </w:rPr>
        <w:t>. No entanto, em alguns casos, pode ser mais relevante considerar os critérios de seleção que se concentram na semelhança das condições econômicas entre os mercados externo e local (em geral, ou no que se refere ao setor industrial específico), em vez da proximidade. Essa alternativa, no entanto, pode exigir que ajustes de comparabilidade sejam realizados para levar em conta as diferenças entre as características (in</w:t>
      </w:r>
      <w:r w:rsidR="00073885" w:rsidRPr="00F072BB">
        <w:rPr>
          <w:rFonts w:ascii="Arial" w:hAnsi="Arial" w:cs="Arial"/>
          <w:lang w:val="pt-BR"/>
        </w:rPr>
        <w:t>clusive geográficas) dos países/</w:t>
      </w:r>
      <w:r w:rsidR="00FA247B" w:rsidRPr="00F072BB">
        <w:rPr>
          <w:rFonts w:ascii="Arial" w:hAnsi="Arial" w:cs="Arial"/>
          <w:lang w:val="pt-BR"/>
        </w:rPr>
        <w:t xml:space="preserve">regiões em questão, incluindo </w:t>
      </w:r>
      <w:r w:rsidR="00467F01" w:rsidRPr="00F072BB">
        <w:rPr>
          <w:rFonts w:ascii="Arial" w:hAnsi="Arial" w:cs="Arial"/>
          <w:i/>
          <w:lang w:val="pt-BR"/>
        </w:rPr>
        <w:t>location savings</w:t>
      </w:r>
      <w:r w:rsidR="00467F01" w:rsidRPr="00F072BB">
        <w:rPr>
          <w:rFonts w:ascii="Arial" w:hAnsi="Arial" w:cs="Arial"/>
          <w:lang w:val="pt-BR"/>
        </w:rPr>
        <w:t xml:space="preserve"> (singularidade de seus fatores econômicos e geográficos) e outra</w:t>
      </w:r>
      <w:r w:rsidR="00FA247B" w:rsidRPr="00F072BB">
        <w:rPr>
          <w:rFonts w:ascii="Arial" w:hAnsi="Arial" w:cs="Arial"/>
          <w:lang w:val="pt-BR"/>
        </w:rPr>
        <w:t xml:space="preserve">s </w:t>
      </w:r>
      <w:r w:rsidR="00467F01" w:rsidRPr="00F072BB">
        <w:rPr>
          <w:rFonts w:ascii="Arial" w:hAnsi="Arial" w:cs="Arial"/>
          <w:lang w:val="pt-BR"/>
        </w:rPr>
        <w:t>características</w:t>
      </w:r>
      <w:r w:rsidR="00FA247B" w:rsidRPr="00F072BB">
        <w:rPr>
          <w:rFonts w:ascii="Arial" w:hAnsi="Arial" w:cs="Arial"/>
          <w:lang w:val="pt-BR"/>
        </w:rPr>
        <w:t xml:space="preserve"> do mercado local.</w:t>
      </w:r>
    </w:p>
    <w:p w14:paraId="11E1A496" w14:textId="5C98FB48" w:rsidR="00FA247B" w:rsidRPr="00F072BB" w:rsidRDefault="00451BD8" w:rsidP="007872DA">
      <w:pPr>
        <w:pStyle w:val="Num-DocParagraph"/>
        <w:rPr>
          <w:rFonts w:ascii="Arial" w:hAnsi="Arial" w:cs="Arial"/>
          <w:lang w:val="pt-BR"/>
        </w:rPr>
      </w:pPr>
      <w:r w:rsidRPr="00F072BB">
        <w:rPr>
          <w:rFonts w:ascii="Arial" w:hAnsi="Arial" w:cs="Arial"/>
        </w:rPr>
        <w:fldChar w:fldCharType="begin"/>
      </w:r>
      <w:r w:rsidRPr="00F072BB">
        <w:rPr>
          <w:rFonts w:ascii="Arial" w:hAnsi="Arial" w:cs="Arial"/>
          <w:lang w:val="pt-BR"/>
        </w:rPr>
        <w:instrText xml:space="preserve"> MACROBUTTON NUMBERING 1</w:instrText>
      </w:r>
      <w:r w:rsidR="00053194" w:rsidRPr="00F072BB">
        <w:rPr>
          <w:rFonts w:ascii="Arial" w:hAnsi="Arial" w:cs="Arial"/>
          <w:lang w:val="pt-BR"/>
        </w:rPr>
        <w:instrText>9</w:instrText>
      </w:r>
      <w:r w:rsidRPr="00F072BB">
        <w:rPr>
          <w:rFonts w:ascii="Arial" w:hAnsi="Arial" w:cs="Arial"/>
          <w:lang w:val="pt-BR"/>
        </w:rPr>
        <w:instrText>.</w:instrText>
      </w:r>
      <w:r w:rsidRPr="00F072BB">
        <w:rPr>
          <w:rFonts w:ascii="Arial" w:hAnsi="Arial" w:cs="Arial"/>
          <w:lang w:val="pt-BR"/>
        </w:rPr>
        <w:tab/>
      </w:r>
      <w:r w:rsidRPr="00F072BB">
        <w:rPr>
          <w:rFonts w:ascii="Arial" w:hAnsi="Arial" w:cs="Arial"/>
        </w:rPr>
        <w:fldChar w:fldCharType="end"/>
      </w:r>
      <w:r w:rsidR="00FA247B" w:rsidRPr="00F072BB">
        <w:rPr>
          <w:rFonts w:ascii="Arial" w:hAnsi="Arial" w:cs="Arial"/>
          <w:lang w:val="pt-BR"/>
        </w:rPr>
        <w:t xml:space="preserve">À luz das considerações acima, o objetivo deste questionário é identificar </w:t>
      </w:r>
      <w:r w:rsidR="00C31640" w:rsidRPr="00F072BB">
        <w:rPr>
          <w:rFonts w:ascii="Arial" w:hAnsi="Arial" w:cs="Arial"/>
          <w:lang w:val="pt-BR"/>
        </w:rPr>
        <w:t xml:space="preserve">os tipos de </w:t>
      </w:r>
      <w:r w:rsidR="00FA247B" w:rsidRPr="00F072BB">
        <w:rPr>
          <w:rFonts w:ascii="Arial" w:hAnsi="Arial" w:cs="Arial"/>
          <w:lang w:val="pt-BR"/>
        </w:rPr>
        <w:t xml:space="preserve">transações para as quais existe potencialmente a necessidade de </w:t>
      </w:r>
      <w:r w:rsidR="00467F01" w:rsidRPr="00F072BB">
        <w:rPr>
          <w:rFonts w:ascii="Arial" w:hAnsi="Arial" w:cs="Arial"/>
          <w:i/>
          <w:lang w:val="pt-BR"/>
        </w:rPr>
        <w:t>safe harbours</w:t>
      </w:r>
      <w:r w:rsidR="00FA247B" w:rsidRPr="00F072BB">
        <w:rPr>
          <w:rFonts w:ascii="Arial" w:hAnsi="Arial" w:cs="Arial"/>
          <w:lang w:val="pt-BR"/>
        </w:rPr>
        <w:t xml:space="preserve"> e convidar os contribuintes e outras partes interessadas a fornecer informações sobre essas necessidades, bem como informações adicionais que possam</w:t>
      </w:r>
      <w:r w:rsidR="00467F01" w:rsidRPr="00F072BB">
        <w:rPr>
          <w:rFonts w:ascii="Arial" w:hAnsi="Arial" w:cs="Arial"/>
          <w:lang w:val="pt-BR"/>
        </w:rPr>
        <w:t xml:space="preserve"> </w:t>
      </w:r>
      <w:r w:rsidR="00FA247B" w:rsidRPr="00F072BB">
        <w:rPr>
          <w:rFonts w:ascii="Arial" w:hAnsi="Arial" w:cs="Arial"/>
          <w:lang w:val="pt-BR"/>
        </w:rPr>
        <w:t>ser relevante</w:t>
      </w:r>
      <w:r w:rsidR="00467F01" w:rsidRPr="00F072BB">
        <w:rPr>
          <w:rFonts w:ascii="Arial" w:hAnsi="Arial" w:cs="Arial"/>
          <w:lang w:val="pt-BR"/>
        </w:rPr>
        <w:t>s</w:t>
      </w:r>
      <w:r w:rsidR="00FA247B" w:rsidRPr="00F072BB">
        <w:rPr>
          <w:rFonts w:ascii="Arial" w:hAnsi="Arial" w:cs="Arial"/>
          <w:lang w:val="pt-BR"/>
        </w:rPr>
        <w:t xml:space="preserve"> para o </w:t>
      </w:r>
      <w:r w:rsidR="00A43410" w:rsidRPr="00F072BB">
        <w:rPr>
          <w:rFonts w:ascii="Arial" w:hAnsi="Arial" w:cs="Arial"/>
          <w:lang w:val="pt-BR"/>
        </w:rPr>
        <w:t>desenvolvimento</w:t>
      </w:r>
      <w:r w:rsidR="00FA247B" w:rsidRPr="00F072BB">
        <w:rPr>
          <w:rFonts w:ascii="Arial" w:hAnsi="Arial" w:cs="Arial"/>
          <w:lang w:val="pt-BR"/>
        </w:rPr>
        <w:t xml:space="preserve"> de </w:t>
      </w:r>
      <w:r w:rsidR="00467F01" w:rsidRPr="00F072BB">
        <w:rPr>
          <w:rFonts w:ascii="Arial" w:hAnsi="Arial" w:cs="Arial"/>
          <w:i/>
          <w:lang w:val="pt-BR"/>
        </w:rPr>
        <w:t>safe harbours</w:t>
      </w:r>
      <w:r w:rsidR="00FA247B" w:rsidRPr="00F072BB">
        <w:rPr>
          <w:rFonts w:ascii="Arial" w:hAnsi="Arial" w:cs="Arial"/>
          <w:lang w:val="pt-BR"/>
        </w:rPr>
        <w:t xml:space="preserve"> ou estruturas de APA para setores e circunstâncias específic</w:t>
      </w:r>
      <w:r w:rsidR="00467F01" w:rsidRPr="00F072BB">
        <w:rPr>
          <w:rFonts w:ascii="Arial" w:hAnsi="Arial" w:cs="Arial"/>
          <w:lang w:val="pt-BR"/>
        </w:rPr>
        <w:t>a</w:t>
      </w:r>
      <w:r w:rsidR="00FA247B" w:rsidRPr="00F072BB">
        <w:rPr>
          <w:rFonts w:ascii="Arial" w:hAnsi="Arial" w:cs="Arial"/>
          <w:lang w:val="pt-BR"/>
        </w:rPr>
        <w:t>s.</w:t>
      </w:r>
    </w:p>
    <w:p w14:paraId="3CAB6289" w14:textId="43BE304F" w:rsidR="00B341D6" w:rsidRPr="00F072BB" w:rsidRDefault="00B341D6" w:rsidP="007872DA">
      <w:pPr>
        <w:pStyle w:val="Num-DocParagraph"/>
        <w:rPr>
          <w:rFonts w:ascii="Arial" w:hAnsi="Arial" w:cs="Arial"/>
          <w:lang w:val="pt-BR"/>
        </w:rPr>
      </w:pPr>
      <w:r w:rsidRPr="00F072BB">
        <w:rPr>
          <w:b/>
          <w:sz w:val="24"/>
          <w:lang w:val="pt-BR"/>
        </w:rPr>
        <w:br w:type="page"/>
      </w:r>
    </w:p>
    <w:p w14:paraId="15EFFF35" w14:textId="62C0A551" w:rsidR="0008359C" w:rsidRPr="00F072BB" w:rsidRDefault="00FA247B" w:rsidP="00AA695D">
      <w:pPr>
        <w:pStyle w:val="BodyText"/>
        <w:spacing w:after="360"/>
        <w:jc w:val="center"/>
        <w:rPr>
          <w:rFonts w:ascii="Arial" w:hAnsi="Arial" w:cs="Arial"/>
          <w:b/>
          <w:sz w:val="24"/>
          <w:lang w:val="pt-BR"/>
        </w:rPr>
      </w:pPr>
      <w:r w:rsidRPr="00F072BB">
        <w:rPr>
          <w:rFonts w:ascii="Arial" w:hAnsi="Arial" w:cs="Arial"/>
          <w:b/>
          <w:sz w:val="24"/>
          <w:lang w:val="pt-BR"/>
        </w:rPr>
        <w:lastRenderedPageBreak/>
        <w:t>QUESTIONÁRIO</w:t>
      </w:r>
    </w:p>
    <w:p w14:paraId="1C3C41FB" w14:textId="4036F187" w:rsidR="00FA247B" w:rsidRPr="00F072BB" w:rsidRDefault="00C31640" w:rsidP="0008359C">
      <w:pPr>
        <w:rPr>
          <w:rFonts w:ascii="Arial" w:hAnsi="Arial" w:cs="Arial"/>
          <w:lang w:val="pt-BR"/>
        </w:rPr>
      </w:pPr>
      <w:r w:rsidRPr="00F072BB">
        <w:rPr>
          <w:rFonts w:ascii="Arial" w:hAnsi="Arial" w:cs="Arial"/>
          <w:lang w:val="pt-BR"/>
        </w:rPr>
        <w:t>As pesquisa</w:t>
      </w:r>
      <w:r w:rsidR="00880F52" w:rsidRPr="00F072BB">
        <w:rPr>
          <w:rFonts w:ascii="Arial" w:hAnsi="Arial" w:cs="Arial"/>
          <w:lang w:val="pt-BR"/>
        </w:rPr>
        <w:t xml:space="preserve"> </w:t>
      </w:r>
      <w:r w:rsidR="00FA247B" w:rsidRPr="00F072BB">
        <w:rPr>
          <w:rFonts w:ascii="Arial" w:hAnsi="Arial" w:cs="Arial"/>
          <w:lang w:val="pt-BR"/>
        </w:rPr>
        <w:t xml:space="preserve">a seguir </w:t>
      </w:r>
      <w:r w:rsidRPr="00F072BB">
        <w:rPr>
          <w:rFonts w:ascii="Arial" w:hAnsi="Arial" w:cs="Arial"/>
          <w:lang w:val="pt-BR"/>
        </w:rPr>
        <w:t>busca</w:t>
      </w:r>
      <w:r w:rsidR="00FA247B" w:rsidRPr="00F072BB">
        <w:rPr>
          <w:rFonts w:ascii="Arial" w:hAnsi="Arial" w:cs="Arial"/>
          <w:lang w:val="pt-BR"/>
        </w:rPr>
        <w:t xml:space="preserve"> opiniões</w:t>
      </w:r>
      <w:r w:rsidR="00566758" w:rsidRPr="00F072BB">
        <w:rPr>
          <w:rFonts w:ascii="Arial" w:hAnsi="Arial" w:cs="Arial"/>
          <w:lang w:val="pt-BR"/>
        </w:rPr>
        <w:t xml:space="preserve"> com relação às circunstancias em que</w:t>
      </w:r>
      <w:r w:rsidR="00880F52" w:rsidRPr="00F072BB">
        <w:rPr>
          <w:rFonts w:ascii="Arial" w:hAnsi="Arial" w:cs="Arial"/>
          <w:lang w:val="pt-BR"/>
        </w:rPr>
        <w:t xml:space="preserve"> </w:t>
      </w:r>
      <w:r w:rsidR="00FA247B" w:rsidRPr="00F072BB">
        <w:rPr>
          <w:rFonts w:ascii="Arial" w:hAnsi="Arial" w:cs="Arial"/>
          <w:lang w:val="pt-BR"/>
        </w:rPr>
        <w:t>os fu</w:t>
      </w:r>
      <w:r w:rsidR="00A43410" w:rsidRPr="00F072BB">
        <w:rPr>
          <w:rFonts w:ascii="Arial" w:hAnsi="Arial" w:cs="Arial"/>
          <w:lang w:val="pt-BR"/>
        </w:rPr>
        <w:t xml:space="preserve">turos regimes de </w:t>
      </w:r>
      <w:r w:rsidR="00A43410" w:rsidRPr="00F072BB">
        <w:rPr>
          <w:rFonts w:ascii="Arial" w:hAnsi="Arial" w:cs="Arial"/>
          <w:i/>
          <w:lang w:val="pt-BR"/>
        </w:rPr>
        <w:t>safe harbour</w:t>
      </w:r>
      <w:r w:rsidR="00A43410" w:rsidRPr="00F072BB">
        <w:rPr>
          <w:rFonts w:ascii="Arial" w:hAnsi="Arial" w:cs="Arial"/>
          <w:lang w:val="pt-BR"/>
        </w:rPr>
        <w:t xml:space="preserve"> e</w:t>
      </w:r>
      <w:r w:rsidR="00FA247B" w:rsidRPr="00F072BB">
        <w:rPr>
          <w:rFonts w:ascii="Arial" w:hAnsi="Arial" w:cs="Arial"/>
          <w:lang w:val="pt-BR"/>
        </w:rPr>
        <w:t xml:space="preserve">/ou estruturas de APA específicas do setor devem ser desenvolvidos no Brasil e dar a </w:t>
      </w:r>
      <w:r w:rsidR="00880F52" w:rsidRPr="00F072BB">
        <w:rPr>
          <w:rFonts w:ascii="Arial" w:hAnsi="Arial" w:cs="Arial"/>
          <w:lang w:val="pt-BR"/>
        </w:rPr>
        <w:t xml:space="preserve">partes interessadas </w:t>
      </w:r>
      <w:r w:rsidR="00FA247B" w:rsidRPr="00F072BB">
        <w:rPr>
          <w:rFonts w:ascii="Arial" w:hAnsi="Arial" w:cs="Arial"/>
          <w:lang w:val="pt-BR"/>
        </w:rPr>
        <w:t>a oportunidade de relatar suas necessidades específicas</w:t>
      </w:r>
      <w:r w:rsidR="00880F52" w:rsidRPr="00F072BB">
        <w:rPr>
          <w:rFonts w:ascii="Arial" w:hAnsi="Arial" w:cs="Arial"/>
          <w:lang w:val="pt-BR"/>
        </w:rPr>
        <w:t xml:space="preserve"> com base na sua </w:t>
      </w:r>
      <w:r w:rsidR="00FA247B" w:rsidRPr="00F072BB">
        <w:rPr>
          <w:rFonts w:ascii="Arial" w:hAnsi="Arial" w:cs="Arial"/>
          <w:lang w:val="pt-BR"/>
        </w:rPr>
        <w:t xml:space="preserve">experiência com </w:t>
      </w:r>
      <w:r w:rsidR="00880F52" w:rsidRPr="00F072BB">
        <w:rPr>
          <w:rFonts w:ascii="Arial" w:hAnsi="Arial" w:cs="Arial"/>
          <w:lang w:val="pt-BR"/>
        </w:rPr>
        <w:t xml:space="preserve">questões </w:t>
      </w:r>
      <w:r w:rsidR="002B6626" w:rsidRPr="00F072BB">
        <w:rPr>
          <w:rFonts w:ascii="Arial" w:hAnsi="Arial" w:cs="Arial"/>
          <w:lang w:val="pt-BR"/>
        </w:rPr>
        <w:t>específic</w:t>
      </w:r>
      <w:r w:rsidR="00880F52" w:rsidRPr="00F072BB">
        <w:rPr>
          <w:rFonts w:ascii="Arial" w:hAnsi="Arial" w:cs="Arial"/>
          <w:lang w:val="pt-BR"/>
        </w:rPr>
        <w:t>a</w:t>
      </w:r>
      <w:r w:rsidR="002B6626" w:rsidRPr="00F072BB">
        <w:rPr>
          <w:rFonts w:ascii="Arial" w:hAnsi="Arial" w:cs="Arial"/>
          <w:lang w:val="pt-BR"/>
        </w:rPr>
        <w:t>s.</w:t>
      </w:r>
    </w:p>
    <w:p w14:paraId="2E9B211D" w14:textId="77777777" w:rsidR="00B341D6" w:rsidRPr="00F072BB" w:rsidRDefault="00B341D6" w:rsidP="0008359C">
      <w:pPr>
        <w:rPr>
          <w:lang w:val="pt-BR"/>
        </w:rPr>
      </w:pP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5"/>
      </w:tblGrid>
      <w:tr w:rsidR="00B341D6" w:rsidRPr="00A87460" w14:paraId="6FAB63A9" w14:textId="77777777" w:rsidTr="00B31A31">
        <w:trPr>
          <w:trHeight w:val="5404"/>
        </w:trPr>
        <w:tc>
          <w:tcPr>
            <w:tcW w:w="9072" w:type="dxa"/>
          </w:tcPr>
          <w:p w14:paraId="10520F62" w14:textId="73A98AA9" w:rsidR="00B341D6" w:rsidRPr="00F072BB" w:rsidRDefault="00A43410" w:rsidP="001B230F">
            <w:pPr>
              <w:pStyle w:val="BodyText"/>
              <w:spacing w:before="240"/>
              <w:rPr>
                <w:rFonts w:ascii="Arial" w:hAnsi="Arial" w:cs="Arial"/>
                <w:b/>
                <w:lang w:val="pt-BR"/>
              </w:rPr>
            </w:pPr>
            <w:r w:rsidRPr="00F072BB">
              <w:rPr>
                <w:rFonts w:ascii="Arial" w:hAnsi="Arial" w:cs="Arial"/>
                <w:b/>
                <w:lang w:val="pt-BR"/>
              </w:rPr>
              <w:t xml:space="preserve">Contato </w:t>
            </w:r>
          </w:p>
          <w:p w14:paraId="3724DEC5" w14:textId="5177811B" w:rsidR="00B341D6" w:rsidRPr="00F072BB" w:rsidRDefault="00FA247B" w:rsidP="00C26AE3">
            <w:pPr>
              <w:pStyle w:val="BodyText"/>
              <w:rPr>
                <w:rFonts w:ascii="Arial" w:hAnsi="Arial" w:cs="Arial"/>
                <w:lang w:val="pt-BR"/>
              </w:rPr>
            </w:pPr>
            <w:r w:rsidRPr="00F072BB">
              <w:rPr>
                <w:rFonts w:ascii="Arial" w:hAnsi="Arial" w:cs="Arial"/>
                <w:lang w:val="pt-BR"/>
              </w:rPr>
              <w:t>Nome</w:t>
            </w:r>
            <w:r w:rsidR="00B341D6" w:rsidRPr="00F072BB">
              <w:rPr>
                <w:rFonts w:ascii="Arial" w:hAnsi="Arial" w:cs="Arial"/>
                <w:lang w:val="pt-BR"/>
              </w:rPr>
              <w:t>:</w:t>
            </w:r>
          </w:p>
          <w:p w14:paraId="1C82FFF0" w14:textId="28347142" w:rsidR="00B341D6" w:rsidRPr="00F072BB" w:rsidRDefault="00FA247B" w:rsidP="00C26AE3">
            <w:pPr>
              <w:pStyle w:val="BodyText"/>
              <w:rPr>
                <w:rFonts w:ascii="Arial" w:hAnsi="Arial" w:cs="Arial"/>
                <w:lang w:val="pt-BR"/>
              </w:rPr>
            </w:pPr>
            <w:r w:rsidRPr="00F072BB">
              <w:rPr>
                <w:rFonts w:ascii="Arial" w:hAnsi="Arial" w:cs="Arial"/>
                <w:lang w:val="pt-BR"/>
              </w:rPr>
              <w:t>Afiliação</w:t>
            </w:r>
            <w:r w:rsidR="00B341D6" w:rsidRPr="00F072BB">
              <w:rPr>
                <w:rFonts w:ascii="Arial" w:hAnsi="Arial" w:cs="Arial"/>
                <w:lang w:val="pt-BR"/>
              </w:rPr>
              <w:t>:</w:t>
            </w:r>
          </w:p>
          <w:p w14:paraId="68A161E4" w14:textId="03982207" w:rsidR="00B341D6" w:rsidRPr="00F072BB" w:rsidRDefault="00FA247B" w:rsidP="00C26AE3">
            <w:pPr>
              <w:pStyle w:val="BodyText"/>
              <w:rPr>
                <w:rFonts w:ascii="Arial" w:hAnsi="Arial" w:cs="Arial"/>
                <w:lang w:val="pt-BR"/>
              </w:rPr>
            </w:pPr>
            <w:r w:rsidRPr="00F072BB">
              <w:rPr>
                <w:rFonts w:ascii="Arial" w:hAnsi="Arial" w:cs="Arial"/>
                <w:lang w:val="pt-BR"/>
              </w:rPr>
              <w:t>E-mail</w:t>
            </w:r>
            <w:r w:rsidR="00B341D6" w:rsidRPr="00F072BB">
              <w:rPr>
                <w:rFonts w:ascii="Arial" w:hAnsi="Arial" w:cs="Arial"/>
                <w:lang w:val="pt-BR"/>
              </w:rPr>
              <w:t>:</w:t>
            </w:r>
          </w:p>
          <w:p w14:paraId="12356184" w14:textId="4557FDDB" w:rsidR="00B341D6" w:rsidRPr="00F072BB" w:rsidRDefault="00FA247B" w:rsidP="00C26AE3">
            <w:pPr>
              <w:pStyle w:val="BodyText"/>
              <w:rPr>
                <w:rFonts w:ascii="Arial" w:hAnsi="Arial" w:cs="Arial"/>
                <w:lang w:val="pt-BR"/>
              </w:rPr>
            </w:pPr>
            <w:r w:rsidRPr="00F072BB">
              <w:rPr>
                <w:rFonts w:ascii="Arial" w:hAnsi="Arial" w:cs="Arial"/>
                <w:lang w:val="pt-BR"/>
              </w:rPr>
              <w:t>Telefone</w:t>
            </w:r>
            <w:r w:rsidR="00B341D6" w:rsidRPr="00F072BB">
              <w:rPr>
                <w:rFonts w:ascii="Arial" w:hAnsi="Arial" w:cs="Arial"/>
                <w:lang w:val="pt-BR"/>
              </w:rPr>
              <w:t>:</w:t>
            </w:r>
          </w:p>
          <w:p w14:paraId="24EAB7D5" w14:textId="16DC94FF" w:rsidR="00B341D6" w:rsidRPr="00F072BB" w:rsidRDefault="00FA247B" w:rsidP="00B31A31">
            <w:pPr>
              <w:pStyle w:val="BodyText"/>
              <w:ind w:right="-104"/>
              <w:rPr>
                <w:rFonts w:ascii="Arial" w:hAnsi="Arial" w:cs="Arial"/>
                <w:lang w:val="pt-BR"/>
              </w:rPr>
            </w:pPr>
            <w:r w:rsidRPr="00F072BB">
              <w:rPr>
                <w:rFonts w:ascii="Arial" w:hAnsi="Arial" w:cs="Arial"/>
                <w:lang w:val="pt-BR"/>
              </w:rPr>
              <w:t>Indique se você está respondendo a est</w:t>
            </w:r>
            <w:r w:rsidR="00566758" w:rsidRPr="00F072BB">
              <w:rPr>
                <w:rFonts w:ascii="Arial" w:hAnsi="Arial" w:cs="Arial"/>
                <w:lang w:val="pt-BR"/>
              </w:rPr>
              <w:t>a pesquisa</w:t>
            </w:r>
          </w:p>
          <w:p w14:paraId="5B9B26AB" w14:textId="4CACA1A0" w:rsidR="00B341D6" w:rsidRPr="00F072BB" w:rsidRDefault="00A87460" w:rsidP="00C27BD5">
            <w:pPr>
              <w:pStyle w:val="ListBullet"/>
              <w:numPr>
                <w:ilvl w:val="0"/>
                <w:numId w:val="0"/>
              </w:numPr>
              <w:ind w:left="1571" w:hanging="720"/>
              <w:rPr>
                <w:rFonts w:ascii="Arial" w:hAnsi="Arial" w:cs="Arial"/>
                <w:lang w:val="pt-BR"/>
              </w:rPr>
            </w:pPr>
            <w:sdt>
              <w:sdtPr>
                <w:rPr>
                  <w:rFonts w:ascii="Arial" w:hAnsi="Arial" w:cs="Arial"/>
                  <w:lang w:val="pt-BR"/>
                </w:rPr>
                <w:id w:val="1297184053"/>
                <w14:checkbox>
                  <w14:checked w14:val="0"/>
                  <w14:checkedState w14:val="2612" w14:font="MS Gothic"/>
                  <w14:uncheckedState w14:val="2610" w14:font="MS Gothic"/>
                </w14:checkbox>
              </w:sdtPr>
              <w:sdtEndPr/>
              <w:sdtContent>
                <w:r w:rsidR="00736512" w:rsidRPr="00F072BB">
                  <w:rPr>
                    <w:rFonts w:ascii="Arial" w:hAnsi="Arial" w:cs="Arial"/>
                    <w:lang w:val="pt-BR"/>
                  </w:rPr>
                  <w:t>☐</w:t>
                </w:r>
              </w:sdtContent>
            </w:sdt>
            <w:r w:rsidR="00C27BD5" w:rsidRPr="00F072BB">
              <w:rPr>
                <w:rFonts w:ascii="Arial" w:hAnsi="Arial" w:cs="Arial"/>
                <w:lang w:val="pt-BR"/>
              </w:rPr>
              <w:t xml:space="preserve"> </w:t>
            </w:r>
            <w:r w:rsidR="00FA247B" w:rsidRPr="00F072BB">
              <w:rPr>
                <w:rFonts w:ascii="Arial" w:hAnsi="Arial" w:cs="Arial"/>
                <w:lang w:val="pt-BR"/>
              </w:rPr>
              <w:t>Como um indivíduo</w:t>
            </w:r>
            <w:r w:rsidR="00B341D6" w:rsidRPr="00F072BB">
              <w:rPr>
                <w:rFonts w:ascii="Arial" w:hAnsi="Arial" w:cs="Arial"/>
                <w:lang w:val="pt-BR"/>
              </w:rPr>
              <w:t xml:space="preserve"> </w:t>
            </w:r>
          </w:p>
          <w:p w14:paraId="6A27421D" w14:textId="4A054F44" w:rsidR="00B341D6" w:rsidRPr="00F072BB" w:rsidRDefault="00A87460" w:rsidP="00C27BD5">
            <w:pPr>
              <w:pStyle w:val="ListBullet"/>
              <w:numPr>
                <w:ilvl w:val="0"/>
                <w:numId w:val="0"/>
              </w:numPr>
              <w:ind w:left="1571" w:hanging="720"/>
              <w:rPr>
                <w:rFonts w:ascii="Arial" w:hAnsi="Arial" w:cs="Arial"/>
                <w:lang w:val="pt-BR"/>
              </w:rPr>
            </w:pPr>
            <w:sdt>
              <w:sdtPr>
                <w:rPr>
                  <w:rFonts w:ascii="Arial" w:hAnsi="Arial" w:cs="Arial"/>
                  <w:lang w:val="pt-BR"/>
                </w:rPr>
                <w:id w:val="-1765687726"/>
                <w14:checkbox>
                  <w14:checked w14:val="0"/>
                  <w14:checkedState w14:val="2612" w14:font="MS Gothic"/>
                  <w14:uncheckedState w14:val="2610" w14:font="MS Gothic"/>
                </w14:checkbox>
              </w:sdtPr>
              <w:sdtEndPr/>
              <w:sdtContent>
                <w:r w:rsidR="00C27BD5" w:rsidRPr="00F072BB">
                  <w:rPr>
                    <w:rFonts w:ascii="Arial" w:hAnsi="Arial" w:cs="Arial"/>
                    <w:lang w:val="pt-BR"/>
                  </w:rPr>
                  <w:t>☐</w:t>
                </w:r>
              </w:sdtContent>
            </w:sdt>
            <w:r w:rsidR="00C27BD5" w:rsidRPr="00F072BB">
              <w:rPr>
                <w:rFonts w:ascii="Arial" w:hAnsi="Arial" w:cs="Arial"/>
                <w:lang w:val="pt-BR"/>
              </w:rPr>
              <w:t xml:space="preserve"> </w:t>
            </w:r>
            <w:r w:rsidR="00FA247B" w:rsidRPr="00F072BB">
              <w:rPr>
                <w:rFonts w:ascii="Arial" w:hAnsi="Arial" w:cs="Arial"/>
                <w:lang w:val="pt-BR"/>
              </w:rPr>
              <w:t>Como empresa</w:t>
            </w:r>
          </w:p>
          <w:p w14:paraId="7F20441F" w14:textId="17B0AD36" w:rsidR="00B341D6" w:rsidRPr="00F072BB" w:rsidRDefault="00A87460" w:rsidP="00C27BD5">
            <w:pPr>
              <w:pStyle w:val="ListBullet"/>
              <w:numPr>
                <w:ilvl w:val="0"/>
                <w:numId w:val="0"/>
              </w:numPr>
              <w:ind w:left="1571" w:hanging="720"/>
              <w:rPr>
                <w:rFonts w:ascii="Arial" w:hAnsi="Arial" w:cs="Arial"/>
                <w:lang w:val="pt-BR"/>
              </w:rPr>
            </w:pPr>
            <w:sdt>
              <w:sdtPr>
                <w:rPr>
                  <w:rFonts w:ascii="Arial" w:hAnsi="Arial" w:cs="Arial"/>
                  <w:lang w:val="pt-BR"/>
                </w:rPr>
                <w:id w:val="-1065641900"/>
                <w14:checkbox>
                  <w14:checked w14:val="0"/>
                  <w14:checkedState w14:val="2612" w14:font="MS Gothic"/>
                  <w14:uncheckedState w14:val="2610" w14:font="MS Gothic"/>
                </w14:checkbox>
              </w:sdtPr>
              <w:sdtEndPr/>
              <w:sdtContent>
                <w:r w:rsidR="00C27BD5" w:rsidRPr="00F072BB">
                  <w:rPr>
                    <w:rFonts w:ascii="Arial" w:hAnsi="Arial" w:cs="Arial"/>
                    <w:lang w:val="pt-BR"/>
                  </w:rPr>
                  <w:t>☐</w:t>
                </w:r>
              </w:sdtContent>
            </w:sdt>
            <w:r w:rsidR="00C27BD5" w:rsidRPr="00F072BB">
              <w:rPr>
                <w:rFonts w:ascii="Arial" w:hAnsi="Arial" w:cs="Arial"/>
                <w:lang w:val="pt-BR"/>
              </w:rPr>
              <w:t xml:space="preserve"> </w:t>
            </w:r>
            <w:r w:rsidR="00FA247B" w:rsidRPr="00F072BB">
              <w:rPr>
                <w:rFonts w:ascii="Arial" w:hAnsi="Arial" w:cs="Arial"/>
                <w:lang w:val="pt-BR"/>
              </w:rPr>
              <w:t>Outro</w:t>
            </w:r>
            <w:r w:rsidR="00B341D6" w:rsidRPr="00F072BB">
              <w:rPr>
                <w:rFonts w:ascii="Arial" w:hAnsi="Arial" w:cs="Arial"/>
                <w:lang w:val="pt-BR"/>
              </w:rPr>
              <w:t xml:space="preserve"> (e.g. </w:t>
            </w:r>
            <w:r w:rsidR="00C81C10" w:rsidRPr="00F072BB">
              <w:rPr>
                <w:rFonts w:ascii="Arial" w:hAnsi="Arial" w:cs="Arial"/>
                <w:lang w:val="pt-BR"/>
              </w:rPr>
              <w:t>consultoria</w:t>
            </w:r>
            <w:r w:rsidR="00FA247B" w:rsidRPr="00F072BB">
              <w:rPr>
                <w:rFonts w:ascii="Arial" w:hAnsi="Arial" w:cs="Arial"/>
                <w:lang w:val="pt-BR"/>
              </w:rPr>
              <w:t>,</w:t>
            </w:r>
            <w:r w:rsidR="00B341D6" w:rsidRPr="00F072BB">
              <w:rPr>
                <w:rFonts w:ascii="Arial" w:hAnsi="Arial" w:cs="Arial"/>
                <w:lang w:val="pt-BR"/>
              </w:rPr>
              <w:t xml:space="preserve"> </w:t>
            </w:r>
            <w:r w:rsidR="00FA247B" w:rsidRPr="00F072BB">
              <w:rPr>
                <w:rFonts w:ascii="Arial" w:hAnsi="Arial" w:cs="Arial"/>
                <w:lang w:val="pt-BR"/>
              </w:rPr>
              <w:t>escritório de advocacia</w:t>
            </w:r>
            <w:r w:rsidR="00B341D6" w:rsidRPr="00F072BB">
              <w:rPr>
                <w:rFonts w:ascii="Arial" w:hAnsi="Arial" w:cs="Arial"/>
                <w:lang w:val="pt-BR"/>
              </w:rPr>
              <w:t xml:space="preserve">, </w:t>
            </w:r>
            <w:r w:rsidR="00FA247B" w:rsidRPr="00F072BB">
              <w:rPr>
                <w:rFonts w:ascii="Arial" w:hAnsi="Arial" w:cs="Arial"/>
                <w:lang w:val="pt-BR"/>
              </w:rPr>
              <w:t>associação empresarial</w:t>
            </w:r>
            <w:r w:rsidR="00B341D6" w:rsidRPr="00F072BB">
              <w:rPr>
                <w:rFonts w:ascii="Arial" w:hAnsi="Arial" w:cs="Arial"/>
                <w:lang w:val="pt-BR"/>
              </w:rPr>
              <w:t xml:space="preserve">, </w:t>
            </w:r>
            <w:r w:rsidR="00FA247B" w:rsidRPr="00F072BB">
              <w:rPr>
                <w:rFonts w:ascii="Arial" w:hAnsi="Arial" w:cs="Arial"/>
                <w:lang w:val="pt-BR"/>
              </w:rPr>
              <w:t>instituição acadêmica,</w:t>
            </w:r>
            <w:r w:rsidR="00566758" w:rsidRPr="00F072BB">
              <w:rPr>
                <w:rFonts w:ascii="Arial" w:hAnsi="Arial" w:cs="Arial"/>
                <w:lang w:val="pt-BR"/>
              </w:rPr>
              <w:t xml:space="preserve"> ONGs</w:t>
            </w:r>
            <w:r w:rsidR="00F40A6C" w:rsidRPr="00F072BB">
              <w:rPr>
                <w:rFonts w:ascii="Arial" w:hAnsi="Arial" w:cs="Arial"/>
                <w:lang w:val="pt-BR"/>
              </w:rPr>
              <w:t xml:space="preserve"> </w:t>
            </w:r>
            <w:r w:rsidR="00B341D6" w:rsidRPr="00F072BB">
              <w:rPr>
                <w:rFonts w:ascii="Arial" w:hAnsi="Arial" w:cs="Arial"/>
                <w:lang w:val="pt-BR"/>
              </w:rPr>
              <w:t>etc.)</w:t>
            </w:r>
          </w:p>
          <w:p w14:paraId="13E2678E" w14:textId="6F192368" w:rsidR="00A43410" w:rsidRPr="00F072BB" w:rsidRDefault="00A43410" w:rsidP="00A060A5">
            <w:pPr>
              <w:pStyle w:val="ListBullet"/>
              <w:numPr>
                <w:ilvl w:val="0"/>
                <w:numId w:val="0"/>
              </w:numPr>
              <w:rPr>
                <w:rFonts w:ascii="Arial" w:hAnsi="Arial" w:cs="Arial"/>
                <w:lang w:val="pt-BR"/>
              </w:rPr>
            </w:pPr>
            <w:r w:rsidRPr="00F072BB">
              <w:rPr>
                <w:rFonts w:ascii="Arial" w:hAnsi="Arial" w:cs="Arial"/>
                <w:lang w:val="pt-BR"/>
              </w:rPr>
              <w:t>Se você estiver respondendo em nome de outras pessoas, especifique qual organização ou grupo de contribuintes você está representando</w:t>
            </w:r>
          </w:p>
        </w:tc>
      </w:tr>
    </w:tbl>
    <w:p w14:paraId="1D1B49A0" w14:textId="77777777" w:rsidR="00B341D6" w:rsidRPr="00F072BB" w:rsidRDefault="00B341D6" w:rsidP="0008359C">
      <w:pPr>
        <w:rPr>
          <w:rFonts w:ascii="Arial" w:hAnsi="Arial" w:cs="Arial"/>
          <w:lang w:val="pt-BR"/>
        </w:rPr>
      </w:pPr>
    </w:p>
    <w:p w14:paraId="3AE44316" w14:textId="77777777" w:rsidR="00583974" w:rsidRPr="00F072BB" w:rsidRDefault="00BB51CA" w:rsidP="00583974">
      <w:pPr>
        <w:tabs>
          <w:tab w:val="clear" w:pos="850"/>
          <w:tab w:val="clear" w:pos="1191"/>
          <w:tab w:val="clear" w:pos="1531"/>
        </w:tabs>
        <w:spacing w:after="160" w:line="259" w:lineRule="auto"/>
        <w:jc w:val="left"/>
        <w:rPr>
          <w:rFonts w:ascii="Arial" w:hAnsi="Arial" w:cs="Arial"/>
          <w:lang w:val="pt-BR"/>
        </w:rPr>
      </w:pPr>
      <w:r w:rsidRPr="00F072BB">
        <w:rPr>
          <w:rFonts w:ascii="Arial" w:hAnsi="Arial" w:cs="Arial"/>
          <w:lang w:val="pt-BR"/>
        </w:rPr>
        <w:br w:type="page"/>
      </w:r>
    </w:p>
    <w:p w14:paraId="61EE732A" w14:textId="4696F232" w:rsidR="00A9491C" w:rsidRPr="00F072BB" w:rsidRDefault="00FA247B" w:rsidP="00A9491C">
      <w:pPr>
        <w:pStyle w:val="Heading2"/>
        <w:rPr>
          <w:rFonts w:ascii="Arial" w:hAnsi="Arial" w:cs="Arial"/>
          <w:lang w:val="pt-BR"/>
        </w:rPr>
      </w:pPr>
      <w:r w:rsidRPr="00F072BB">
        <w:rPr>
          <w:rFonts w:ascii="Arial" w:hAnsi="Arial" w:cs="Arial"/>
          <w:lang w:val="pt-BR"/>
        </w:rPr>
        <w:lastRenderedPageBreak/>
        <w:t>Ide</w:t>
      </w:r>
      <w:r w:rsidR="007C34D6" w:rsidRPr="00F072BB">
        <w:rPr>
          <w:rFonts w:ascii="Arial" w:hAnsi="Arial" w:cs="Arial"/>
          <w:lang w:val="pt-BR"/>
        </w:rPr>
        <w:t>n</w:t>
      </w:r>
      <w:r w:rsidRPr="00F072BB">
        <w:rPr>
          <w:rFonts w:ascii="Arial" w:hAnsi="Arial" w:cs="Arial"/>
          <w:lang w:val="pt-BR"/>
        </w:rPr>
        <w:t xml:space="preserve">tificação </w:t>
      </w:r>
      <w:r w:rsidR="00D858D3" w:rsidRPr="00F072BB">
        <w:rPr>
          <w:rFonts w:ascii="Arial" w:hAnsi="Arial" w:cs="Arial"/>
          <w:lang w:val="pt-BR"/>
        </w:rPr>
        <w:t xml:space="preserve">de cenários onde </w:t>
      </w:r>
      <w:r w:rsidRPr="00F072BB">
        <w:rPr>
          <w:rFonts w:ascii="Arial" w:hAnsi="Arial" w:cs="Arial"/>
          <w:lang w:val="pt-BR"/>
        </w:rPr>
        <w:t xml:space="preserve">regimes específicos de </w:t>
      </w:r>
      <w:r w:rsidRPr="00F072BB">
        <w:rPr>
          <w:rFonts w:ascii="Arial" w:hAnsi="Arial" w:cs="Arial"/>
          <w:i/>
          <w:lang w:val="pt-BR"/>
        </w:rPr>
        <w:t>safe harbour</w:t>
      </w:r>
      <w:r w:rsidR="00D858D3" w:rsidRPr="00F072BB">
        <w:rPr>
          <w:rFonts w:ascii="Arial" w:hAnsi="Arial" w:cs="Arial"/>
          <w:i/>
          <w:lang w:val="pt-BR"/>
        </w:rPr>
        <w:t xml:space="preserve"> </w:t>
      </w:r>
      <w:r w:rsidR="00D858D3" w:rsidRPr="00B57F2F">
        <w:rPr>
          <w:rFonts w:ascii="Arial" w:hAnsi="Arial" w:cs="Arial"/>
          <w:lang w:val="pt-BR"/>
        </w:rPr>
        <w:t>podem ser necessários</w:t>
      </w:r>
    </w:p>
    <w:p w14:paraId="5656D110" w14:textId="4476A4C6" w:rsidR="00C26AE3" w:rsidRPr="00F072BB" w:rsidRDefault="008C5CD6" w:rsidP="00C26AE3">
      <w:pPr>
        <w:pStyle w:val="Num-DocParagraph"/>
        <w:rPr>
          <w:rFonts w:ascii="Arial" w:hAnsi="Arial" w:cs="Arial"/>
          <w:lang w:val="pt-BR"/>
        </w:rPr>
      </w:pPr>
      <w:r w:rsidRPr="00F072BB">
        <w:rPr>
          <w:rFonts w:ascii="Arial" w:hAnsi="Arial" w:cs="Arial"/>
          <w:lang w:val="pt-BR"/>
        </w:rPr>
        <w:t>1</w:t>
      </w:r>
      <w:r w:rsidR="00A9491C" w:rsidRPr="00F072BB">
        <w:rPr>
          <w:rFonts w:ascii="Arial" w:hAnsi="Arial" w:cs="Arial"/>
          <w:lang w:val="pt-BR"/>
        </w:rPr>
        <w:t xml:space="preserve">. </w:t>
      </w:r>
      <w:r w:rsidR="00C26AE3" w:rsidRPr="00F072BB">
        <w:rPr>
          <w:lang w:val="pt-BR"/>
        </w:rPr>
        <w:t xml:space="preserve"> </w:t>
      </w:r>
      <w:r w:rsidR="00FA247B" w:rsidRPr="00F072BB">
        <w:rPr>
          <w:rFonts w:ascii="Arial" w:hAnsi="Arial" w:cs="Arial"/>
          <w:lang w:val="pt-BR"/>
        </w:rPr>
        <w:t>Você considera</w:t>
      </w:r>
      <w:r w:rsidR="00566758" w:rsidRPr="00F072BB">
        <w:rPr>
          <w:rFonts w:ascii="Arial" w:hAnsi="Arial" w:cs="Arial"/>
          <w:lang w:val="pt-BR"/>
        </w:rPr>
        <w:t xml:space="preserve"> os esforços para</w:t>
      </w:r>
      <w:r w:rsidR="007C34D6" w:rsidRPr="00F072BB">
        <w:rPr>
          <w:rFonts w:ascii="Arial" w:hAnsi="Arial" w:cs="Arial"/>
          <w:lang w:val="pt-BR"/>
        </w:rPr>
        <w:t xml:space="preserve"> </w:t>
      </w:r>
      <w:r w:rsidR="009B51CF" w:rsidRPr="00F072BB">
        <w:rPr>
          <w:rFonts w:ascii="Arial" w:hAnsi="Arial" w:cs="Arial"/>
          <w:lang w:val="pt-BR"/>
        </w:rPr>
        <w:t>desenvolver</w:t>
      </w:r>
      <w:r w:rsidR="007C34D6" w:rsidRPr="00F072BB">
        <w:rPr>
          <w:rFonts w:ascii="Arial" w:hAnsi="Arial" w:cs="Arial"/>
          <w:lang w:val="pt-BR"/>
        </w:rPr>
        <w:t xml:space="preserve"> </w:t>
      </w:r>
      <w:r w:rsidR="007C34D6" w:rsidRPr="00F072BB">
        <w:rPr>
          <w:rFonts w:ascii="Arial" w:hAnsi="Arial" w:cs="Arial"/>
          <w:i/>
          <w:lang w:val="pt-BR"/>
        </w:rPr>
        <w:t>safe harbours</w:t>
      </w:r>
      <w:r w:rsidR="007C34D6" w:rsidRPr="00F072BB">
        <w:rPr>
          <w:rFonts w:ascii="Arial" w:hAnsi="Arial" w:cs="Arial"/>
          <w:lang w:val="pt-BR"/>
        </w:rPr>
        <w:t xml:space="preserve"> específicos</w:t>
      </w:r>
      <w:r w:rsidR="00566758" w:rsidRPr="00F072BB">
        <w:rPr>
          <w:rFonts w:ascii="Arial" w:hAnsi="Arial" w:cs="Arial"/>
          <w:lang w:val="pt-BR"/>
        </w:rPr>
        <w:t xml:space="preserve"> necessário e relevante para sua empresa</w:t>
      </w:r>
      <w:r w:rsidR="00FA247B" w:rsidRPr="00F072BB">
        <w:rPr>
          <w:rFonts w:ascii="Arial" w:hAnsi="Arial" w:cs="Arial"/>
          <w:lang w:val="pt-BR"/>
        </w:rPr>
        <w:t>?</w:t>
      </w:r>
    </w:p>
    <w:p w14:paraId="0605E4A6" w14:textId="4F6B29ED" w:rsidR="00C26AE3" w:rsidRPr="00F072BB" w:rsidRDefault="00A87460" w:rsidP="00C26AE3">
      <w:pPr>
        <w:pStyle w:val="Num-DocParagraph"/>
        <w:ind w:left="720"/>
        <w:rPr>
          <w:rFonts w:ascii="Arial" w:hAnsi="Arial" w:cs="Arial"/>
          <w:lang w:val="pt-BR"/>
        </w:rPr>
      </w:pPr>
      <w:sdt>
        <w:sdtPr>
          <w:rPr>
            <w:rFonts w:ascii="Arial" w:hAnsi="Arial" w:cs="Arial"/>
            <w:lang w:val="pt-BR"/>
          </w:rPr>
          <w:id w:val="-97414059"/>
          <w14:checkbox>
            <w14:checked w14:val="0"/>
            <w14:checkedState w14:val="2612" w14:font="MS Gothic"/>
            <w14:uncheckedState w14:val="2610" w14:font="MS Gothic"/>
          </w14:checkbox>
        </w:sdtPr>
        <w:sdtEndPr/>
        <w:sdtContent>
          <w:r w:rsidR="00C26AE3" w:rsidRPr="00F072BB">
            <w:rPr>
              <w:rFonts w:ascii="Segoe UI Symbol" w:hAnsi="Segoe UI Symbol" w:cs="Segoe UI Symbol"/>
              <w:lang w:val="pt-BR"/>
            </w:rPr>
            <w:t>☐</w:t>
          </w:r>
        </w:sdtContent>
      </w:sdt>
      <w:r w:rsidR="00C26AE3" w:rsidRPr="00F072BB">
        <w:rPr>
          <w:rFonts w:ascii="Arial" w:hAnsi="Arial" w:cs="Arial"/>
          <w:lang w:val="pt-BR"/>
        </w:rPr>
        <w:t xml:space="preserve"> </w:t>
      </w:r>
      <w:r w:rsidR="007C34D6" w:rsidRPr="00F072BB">
        <w:rPr>
          <w:rFonts w:ascii="Arial" w:hAnsi="Arial" w:cs="Arial"/>
          <w:lang w:val="pt-BR"/>
        </w:rPr>
        <w:t>Sim</w:t>
      </w:r>
      <w:r w:rsidR="00C26AE3" w:rsidRPr="00F072BB">
        <w:rPr>
          <w:rFonts w:ascii="Arial" w:hAnsi="Arial" w:cs="Arial"/>
          <w:lang w:val="pt-BR"/>
        </w:rPr>
        <w:t xml:space="preserve">. </w:t>
      </w:r>
    </w:p>
    <w:p w14:paraId="2B215A85" w14:textId="5A440337" w:rsidR="00C26AE3" w:rsidRPr="00F072BB" w:rsidRDefault="00A87460" w:rsidP="00C26AE3">
      <w:pPr>
        <w:pStyle w:val="Num-DocParagraph"/>
        <w:ind w:left="720"/>
        <w:rPr>
          <w:rFonts w:ascii="Arial" w:hAnsi="Arial" w:cs="Arial"/>
          <w:lang w:val="pt-BR"/>
        </w:rPr>
      </w:pPr>
      <w:sdt>
        <w:sdtPr>
          <w:rPr>
            <w:rFonts w:ascii="Arial" w:hAnsi="Arial" w:cs="Arial"/>
            <w:lang w:val="pt-BR"/>
          </w:rPr>
          <w:id w:val="-457727703"/>
          <w14:checkbox>
            <w14:checked w14:val="0"/>
            <w14:checkedState w14:val="2612" w14:font="MS Gothic"/>
            <w14:uncheckedState w14:val="2610" w14:font="MS Gothic"/>
          </w14:checkbox>
        </w:sdtPr>
        <w:sdtEndPr/>
        <w:sdtContent>
          <w:r w:rsidR="00C26AE3" w:rsidRPr="00F072BB">
            <w:rPr>
              <w:rFonts w:ascii="Segoe UI Symbol" w:hAnsi="Segoe UI Symbol" w:cs="Segoe UI Symbol"/>
              <w:lang w:val="pt-BR"/>
            </w:rPr>
            <w:t>☐</w:t>
          </w:r>
        </w:sdtContent>
      </w:sdt>
      <w:r w:rsidR="00C26AE3" w:rsidRPr="00F072BB">
        <w:rPr>
          <w:rFonts w:ascii="Arial" w:hAnsi="Arial" w:cs="Arial"/>
          <w:lang w:val="pt-BR"/>
        </w:rPr>
        <w:t xml:space="preserve"> </w:t>
      </w:r>
      <w:r w:rsidR="007C34D6" w:rsidRPr="00F072BB">
        <w:rPr>
          <w:rFonts w:ascii="Arial" w:hAnsi="Arial" w:cs="Arial"/>
          <w:lang w:val="pt-BR"/>
        </w:rPr>
        <w:t>Não</w:t>
      </w:r>
      <w:r w:rsidR="00C26AE3" w:rsidRPr="00F072BB">
        <w:rPr>
          <w:rFonts w:ascii="Arial" w:hAnsi="Arial" w:cs="Arial"/>
          <w:lang w:val="pt-BR"/>
        </w:rPr>
        <w:t>.</w:t>
      </w:r>
    </w:p>
    <w:p w14:paraId="0387960C" w14:textId="7617CDD7" w:rsidR="007C34D6" w:rsidRPr="00F072BB" w:rsidRDefault="007C34D6" w:rsidP="00B86339">
      <w:pPr>
        <w:pStyle w:val="Num-DocParagraph"/>
        <w:rPr>
          <w:rFonts w:ascii="Arial" w:hAnsi="Arial" w:cs="Arial"/>
          <w:lang w:val="pt-BR"/>
        </w:rPr>
      </w:pPr>
      <w:r w:rsidRPr="00F072BB">
        <w:rPr>
          <w:rFonts w:ascii="Arial" w:hAnsi="Arial" w:cs="Arial"/>
          <w:lang w:val="pt-BR"/>
        </w:rPr>
        <w:t xml:space="preserve">Se sim, forneça uma descrição dos tipos de transações que </w:t>
      </w:r>
      <w:r w:rsidR="009B51CF" w:rsidRPr="00F072BB">
        <w:rPr>
          <w:rFonts w:ascii="Arial" w:hAnsi="Arial" w:cs="Arial"/>
          <w:lang w:val="pt-BR"/>
        </w:rPr>
        <w:t xml:space="preserve">na sua visão deveriam ser abarcadas por </w:t>
      </w:r>
      <w:r w:rsidRPr="00F072BB">
        <w:rPr>
          <w:rFonts w:ascii="Arial" w:hAnsi="Arial" w:cs="Arial"/>
          <w:i/>
          <w:lang w:val="pt-BR"/>
        </w:rPr>
        <w:t>safe harbours</w:t>
      </w:r>
      <w:r w:rsidRPr="00F072BB">
        <w:rPr>
          <w:rFonts w:ascii="Arial" w:hAnsi="Arial" w:cs="Arial"/>
          <w:lang w:val="pt-BR"/>
        </w:rPr>
        <w:t xml:space="preserve"> </w:t>
      </w:r>
      <w:r w:rsidR="00D858D3" w:rsidRPr="00F072BB">
        <w:rPr>
          <w:rFonts w:ascii="Arial" w:hAnsi="Arial" w:cs="Arial"/>
          <w:lang w:val="pt-BR"/>
        </w:rPr>
        <w:t xml:space="preserve">específicos </w:t>
      </w:r>
      <w:r w:rsidRPr="00F072BB">
        <w:rPr>
          <w:rFonts w:ascii="Arial" w:hAnsi="Arial" w:cs="Arial"/>
          <w:lang w:val="pt-BR"/>
        </w:rPr>
        <w:t xml:space="preserve">e </w:t>
      </w:r>
      <w:r w:rsidR="00A10A25" w:rsidRPr="00F072BB">
        <w:rPr>
          <w:rFonts w:ascii="Arial" w:hAnsi="Arial" w:cs="Arial"/>
          <w:lang w:val="pt-BR"/>
        </w:rPr>
        <w:t>apresente</w:t>
      </w:r>
      <w:r w:rsidRPr="00F072BB">
        <w:rPr>
          <w:rFonts w:ascii="Arial" w:hAnsi="Arial" w:cs="Arial"/>
          <w:lang w:val="pt-BR"/>
        </w:rPr>
        <w:t xml:space="preserve"> os motivos que justificam </w:t>
      </w:r>
      <w:r w:rsidR="009B51CF" w:rsidRPr="00F072BB">
        <w:rPr>
          <w:rFonts w:ascii="Arial" w:hAnsi="Arial" w:cs="Arial"/>
          <w:lang w:val="pt-BR"/>
        </w:rPr>
        <w:t xml:space="preserve">tal </w:t>
      </w:r>
      <w:r w:rsidRPr="00F072BB">
        <w:rPr>
          <w:rFonts w:ascii="Arial" w:hAnsi="Arial" w:cs="Arial"/>
          <w:lang w:val="pt-BR"/>
        </w:rPr>
        <w:t xml:space="preserve">necessidade. Ao descrever cada categoria de transações específicas para as quais um regime de </w:t>
      </w:r>
      <w:r w:rsidRPr="00F072BB">
        <w:rPr>
          <w:rFonts w:ascii="Arial" w:hAnsi="Arial" w:cs="Arial"/>
          <w:i/>
          <w:lang w:val="pt-BR"/>
        </w:rPr>
        <w:t>safe harbour</w:t>
      </w:r>
      <w:r w:rsidR="009B51CF" w:rsidRPr="00F072BB">
        <w:rPr>
          <w:rFonts w:ascii="Arial" w:hAnsi="Arial" w:cs="Arial"/>
          <w:lang w:val="pt-BR"/>
        </w:rPr>
        <w:t xml:space="preserve"> deveria</w:t>
      </w:r>
      <w:r w:rsidRPr="00F072BB">
        <w:rPr>
          <w:rFonts w:ascii="Arial" w:hAnsi="Arial" w:cs="Arial"/>
          <w:lang w:val="pt-BR"/>
        </w:rPr>
        <w:t xml:space="preserve"> ser desenvolvido, descreva os</w:t>
      </w:r>
      <w:r w:rsidR="001A61E9" w:rsidRPr="00F072BB">
        <w:rPr>
          <w:lang w:val="pt-BR"/>
        </w:rPr>
        <w:t xml:space="preserve"> </w:t>
      </w:r>
      <w:r w:rsidR="001A61E9" w:rsidRPr="00F072BB">
        <w:rPr>
          <w:rFonts w:ascii="Arial" w:hAnsi="Arial" w:cs="Arial"/>
          <w:lang w:val="pt-BR"/>
        </w:rPr>
        <w:t xml:space="preserve">o perfil funcional/de risco da entidade que se beneficiaria do </w:t>
      </w:r>
      <w:r w:rsidR="001A61E9" w:rsidRPr="00F072BB">
        <w:rPr>
          <w:rFonts w:ascii="Arial" w:hAnsi="Arial" w:cs="Arial"/>
          <w:i/>
          <w:lang w:val="pt-BR"/>
        </w:rPr>
        <w:t>safe harbour</w:t>
      </w:r>
      <w:r w:rsidR="001A61E9" w:rsidRPr="00F072BB">
        <w:rPr>
          <w:rFonts w:ascii="Arial" w:hAnsi="Arial" w:cs="Arial"/>
          <w:lang w:val="pt-BR"/>
        </w:rPr>
        <w:t xml:space="preserve">, bem como outros fatores de comparabilidade, que podem ser relevantes para os objetivos do projeto de porto seguro (termos contratuais das transações; características da propriedade transferida ou serviços) fornecidas; circunstâncias econômicas das partes e do mercado em que as partes operam; estratégias de negócios) </w:t>
      </w:r>
      <w:r w:rsidRPr="00F072BB">
        <w:rPr>
          <w:rFonts w:ascii="Arial" w:hAnsi="Arial" w:cs="Arial"/>
          <w:lang w:val="pt-BR"/>
        </w:rPr>
        <w:t xml:space="preserve"> fatores de comparabilidade relevantes (termos contratuais das</w:t>
      </w:r>
      <w:r w:rsidR="009B51CF" w:rsidRPr="00F072BB">
        <w:rPr>
          <w:rFonts w:ascii="Arial" w:hAnsi="Arial" w:cs="Arial"/>
          <w:lang w:val="pt-BR"/>
        </w:rPr>
        <w:t xml:space="preserve"> transações;</w:t>
      </w:r>
      <w:r w:rsidRPr="00F072BB">
        <w:rPr>
          <w:rFonts w:ascii="Arial" w:hAnsi="Arial" w:cs="Arial"/>
          <w:lang w:val="pt-BR"/>
        </w:rPr>
        <w:t>; características de propriedade transferida ou serviços prestados; circunstâncias econômicas das partes e do mercado em que as partes operam; estratégias de negócios).</w:t>
      </w:r>
    </w:p>
    <w:p w14:paraId="1C11173D" w14:textId="5F2609FA" w:rsidR="005671B0" w:rsidRPr="00F072BB" w:rsidRDefault="007C34D6" w:rsidP="00C26AE3">
      <w:pPr>
        <w:pStyle w:val="Num-DocParagraph"/>
        <w:rPr>
          <w:rFonts w:ascii="Arial" w:hAnsi="Arial" w:cs="Arial"/>
          <w:lang w:val="pt-BR"/>
        </w:rPr>
      </w:pPr>
      <w:r w:rsidRPr="00F072BB">
        <w:rPr>
          <w:rFonts w:ascii="Arial" w:hAnsi="Arial" w:cs="Arial"/>
          <w:lang w:val="pt-BR"/>
        </w:rPr>
        <w:t xml:space="preserve">Os </w:t>
      </w:r>
      <w:r w:rsidRPr="00F072BB">
        <w:rPr>
          <w:rFonts w:ascii="Arial" w:hAnsi="Arial" w:cs="Arial"/>
          <w:i/>
          <w:lang w:val="pt-BR"/>
        </w:rPr>
        <w:t>safe harbours</w:t>
      </w:r>
      <w:r w:rsidRPr="00F072BB">
        <w:rPr>
          <w:rFonts w:ascii="Arial" w:hAnsi="Arial" w:cs="Arial"/>
          <w:lang w:val="pt-BR"/>
        </w:rPr>
        <w:t xml:space="preserve"> </w:t>
      </w:r>
      <w:r w:rsidR="00A10A25" w:rsidRPr="00F072BB">
        <w:rPr>
          <w:rFonts w:ascii="Arial" w:hAnsi="Arial" w:cs="Arial"/>
          <w:lang w:val="pt-BR"/>
        </w:rPr>
        <w:t>se aplicariam à</w:t>
      </w:r>
      <w:r w:rsidR="00EF5394" w:rsidRPr="00F072BB">
        <w:rPr>
          <w:rFonts w:ascii="Arial" w:hAnsi="Arial" w:cs="Arial"/>
          <w:lang w:val="pt-BR"/>
        </w:rPr>
        <w:t>s</w:t>
      </w:r>
      <w:r w:rsidRPr="00F072BB">
        <w:rPr>
          <w:rFonts w:ascii="Arial" w:hAnsi="Arial" w:cs="Arial"/>
          <w:lang w:val="pt-BR"/>
        </w:rPr>
        <w:t xml:space="preserve"> transações cobertas por regras de preços de transferência em outros países?</w:t>
      </w:r>
    </w:p>
    <w:p w14:paraId="6BC47C33" w14:textId="4E87DF73" w:rsidR="005671B0" w:rsidRPr="00F072BB" w:rsidRDefault="00A87460" w:rsidP="005671B0">
      <w:pPr>
        <w:pStyle w:val="Num-DocParagraph"/>
        <w:ind w:left="720"/>
        <w:rPr>
          <w:rFonts w:ascii="Arial" w:hAnsi="Arial" w:cs="Arial"/>
          <w:lang w:val="pt-BR"/>
        </w:rPr>
      </w:pPr>
      <w:sdt>
        <w:sdtPr>
          <w:rPr>
            <w:rFonts w:ascii="Arial" w:hAnsi="Arial" w:cs="Arial"/>
            <w:lang w:val="pt-BR"/>
          </w:rPr>
          <w:id w:val="805354431"/>
          <w14:checkbox>
            <w14:checked w14:val="0"/>
            <w14:checkedState w14:val="2612" w14:font="MS Gothic"/>
            <w14:uncheckedState w14:val="2610" w14:font="MS Gothic"/>
          </w14:checkbox>
        </w:sdtPr>
        <w:sdtEndPr/>
        <w:sdtContent>
          <w:r w:rsidR="005671B0" w:rsidRPr="00F072BB">
            <w:rPr>
              <w:rFonts w:ascii="Segoe UI Symbol" w:hAnsi="Segoe UI Symbol" w:cs="Segoe UI Symbol"/>
              <w:lang w:val="pt-BR"/>
            </w:rPr>
            <w:t>☐</w:t>
          </w:r>
        </w:sdtContent>
      </w:sdt>
      <w:r w:rsidR="005671B0" w:rsidRPr="00F072BB">
        <w:rPr>
          <w:rFonts w:ascii="Arial" w:hAnsi="Arial" w:cs="Arial"/>
          <w:lang w:val="pt-BR"/>
        </w:rPr>
        <w:t xml:space="preserve"> </w:t>
      </w:r>
      <w:r w:rsidR="007C34D6" w:rsidRPr="00F072BB">
        <w:rPr>
          <w:rFonts w:ascii="Arial" w:hAnsi="Arial" w:cs="Arial"/>
          <w:lang w:val="pt-BR"/>
        </w:rPr>
        <w:t>Sim</w:t>
      </w:r>
      <w:r w:rsidR="005671B0" w:rsidRPr="00F072BB">
        <w:rPr>
          <w:rFonts w:ascii="Arial" w:hAnsi="Arial" w:cs="Arial"/>
          <w:lang w:val="pt-BR"/>
        </w:rPr>
        <w:t xml:space="preserve">. </w:t>
      </w:r>
    </w:p>
    <w:p w14:paraId="6BDDAB7B" w14:textId="1EC403ED" w:rsidR="005671B0" w:rsidRPr="00F072BB" w:rsidRDefault="00A87460" w:rsidP="005671B0">
      <w:pPr>
        <w:pStyle w:val="Num-DocParagraph"/>
        <w:ind w:left="720"/>
        <w:rPr>
          <w:rFonts w:ascii="Arial" w:hAnsi="Arial" w:cs="Arial"/>
          <w:lang w:val="pt-BR"/>
        </w:rPr>
      </w:pPr>
      <w:sdt>
        <w:sdtPr>
          <w:rPr>
            <w:rFonts w:ascii="Arial" w:hAnsi="Arial" w:cs="Arial"/>
            <w:lang w:val="pt-BR"/>
          </w:rPr>
          <w:id w:val="108635002"/>
          <w14:checkbox>
            <w14:checked w14:val="0"/>
            <w14:checkedState w14:val="2612" w14:font="MS Gothic"/>
            <w14:uncheckedState w14:val="2610" w14:font="MS Gothic"/>
          </w14:checkbox>
        </w:sdtPr>
        <w:sdtEndPr/>
        <w:sdtContent>
          <w:r w:rsidR="005671B0" w:rsidRPr="00F072BB">
            <w:rPr>
              <w:rFonts w:ascii="Segoe UI Symbol" w:hAnsi="Segoe UI Symbol" w:cs="Segoe UI Symbol"/>
              <w:lang w:val="pt-BR"/>
            </w:rPr>
            <w:t>☐</w:t>
          </w:r>
        </w:sdtContent>
      </w:sdt>
      <w:r w:rsidR="005671B0" w:rsidRPr="00F072BB">
        <w:rPr>
          <w:rFonts w:ascii="Arial" w:hAnsi="Arial" w:cs="Arial"/>
          <w:lang w:val="pt-BR"/>
        </w:rPr>
        <w:t xml:space="preserve"> </w:t>
      </w:r>
      <w:r w:rsidR="007C34D6" w:rsidRPr="00F072BB">
        <w:rPr>
          <w:rFonts w:ascii="Arial" w:hAnsi="Arial" w:cs="Arial"/>
          <w:lang w:val="pt-BR"/>
        </w:rPr>
        <w:t>Não</w:t>
      </w:r>
      <w:r w:rsidR="005671B0" w:rsidRPr="00F072BB">
        <w:rPr>
          <w:rFonts w:ascii="Arial" w:hAnsi="Arial" w:cs="Arial"/>
          <w:lang w:val="pt-BR"/>
        </w:rPr>
        <w:t>.</w:t>
      </w:r>
    </w:p>
    <w:p w14:paraId="6A012EF5" w14:textId="43559493" w:rsidR="0056280C" w:rsidRPr="00F072BB" w:rsidRDefault="007C34D6" w:rsidP="00C26AE3">
      <w:pPr>
        <w:pStyle w:val="Num-DocParagraph"/>
        <w:rPr>
          <w:rFonts w:ascii="Arial" w:hAnsi="Arial" w:cs="Arial"/>
          <w:lang w:val="pt-BR"/>
        </w:rPr>
      </w:pPr>
      <w:r w:rsidRPr="00F072BB">
        <w:rPr>
          <w:rFonts w:ascii="Arial" w:hAnsi="Arial" w:cs="Arial"/>
          <w:lang w:val="pt-BR"/>
        </w:rPr>
        <w:t xml:space="preserve">Se sim, você pode fornecer as jurisdições das contrapartes relevantes (essas informações </w:t>
      </w:r>
      <w:r w:rsidR="00A10A25" w:rsidRPr="00F072BB">
        <w:rPr>
          <w:rFonts w:ascii="Arial" w:hAnsi="Arial" w:cs="Arial"/>
          <w:lang w:val="pt-BR"/>
        </w:rPr>
        <w:t>serão úteis para</w:t>
      </w:r>
      <w:r w:rsidRPr="00F072BB">
        <w:rPr>
          <w:rFonts w:ascii="Arial" w:hAnsi="Arial" w:cs="Arial"/>
          <w:lang w:val="pt-BR"/>
        </w:rPr>
        <w:t xml:space="preserve"> priorizar </w:t>
      </w:r>
      <w:r w:rsidR="00A10A25" w:rsidRPr="00F072BB">
        <w:rPr>
          <w:rFonts w:ascii="Arial" w:hAnsi="Arial" w:cs="Arial"/>
          <w:lang w:val="pt-BR"/>
        </w:rPr>
        <w:t>um</w:t>
      </w:r>
      <w:r w:rsidRPr="00F072BB">
        <w:rPr>
          <w:rFonts w:ascii="Arial" w:hAnsi="Arial" w:cs="Arial"/>
          <w:lang w:val="pt-BR"/>
        </w:rPr>
        <w:t xml:space="preserve"> </w:t>
      </w:r>
      <w:r w:rsidR="00A10A25" w:rsidRPr="00F072BB">
        <w:rPr>
          <w:rFonts w:ascii="Arial" w:hAnsi="Arial" w:cs="Arial"/>
          <w:lang w:val="pt-BR"/>
        </w:rPr>
        <w:t xml:space="preserve">potencial </w:t>
      </w:r>
      <w:r w:rsidRPr="00F072BB">
        <w:rPr>
          <w:rFonts w:ascii="Arial" w:hAnsi="Arial" w:cs="Arial"/>
          <w:lang w:val="pt-BR"/>
        </w:rPr>
        <w:t xml:space="preserve">diálogo bilateral para garantir a aceitação dos regimes de </w:t>
      </w:r>
      <w:r w:rsidR="00A10A25" w:rsidRPr="00F072BB">
        <w:rPr>
          <w:rFonts w:ascii="Arial" w:hAnsi="Arial" w:cs="Arial"/>
          <w:i/>
          <w:lang w:val="pt-BR"/>
        </w:rPr>
        <w:t>safe harbours</w:t>
      </w:r>
      <w:r w:rsidRPr="00F072BB">
        <w:rPr>
          <w:rFonts w:ascii="Arial" w:hAnsi="Arial" w:cs="Arial"/>
          <w:lang w:val="pt-BR"/>
        </w:rPr>
        <w:t xml:space="preserve"> pelas jurisdições </w:t>
      </w:r>
      <w:r w:rsidR="00A10A25" w:rsidRPr="00F072BB">
        <w:rPr>
          <w:rFonts w:ascii="Arial" w:hAnsi="Arial" w:cs="Arial"/>
          <w:lang w:val="pt-BR"/>
        </w:rPr>
        <w:t>indicadas</w:t>
      </w:r>
      <w:r w:rsidRPr="00F072BB">
        <w:rPr>
          <w:rFonts w:ascii="Arial" w:hAnsi="Arial" w:cs="Arial"/>
          <w:lang w:val="pt-BR"/>
        </w:rPr>
        <w:t>).</w:t>
      </w:r>
    </w:p>
    <w:p w14:paraId="09F5155F" w14:textId="4239A3CD" w:rsidR="00C26AE3" w:rsidRPr="00F072BB" w:rsidRDefault="008059DD" w:rsidP="00C26AE3">
      <w:pPr>
        <w:pStyle w:val="Num-DocParagraph"/>
        <w:rPr>
          <w:rFonts w:ascii="Arial" w:hAnsi="Arial" w:cs="Arial"/>
          <w:lang w:val="pt-BR"/>
        </w:rPr>
      </w:pPr>
      <w:r w:rsidRPr="00F072BB">
        <w:rPr>
          <w:rFonts w:ascii="Arial" w:hAnsi="Arial" w:cs="Arial"/>
          <w:lang w:val="pt-BR"/>
        </w:rPr>
        <w:t>Ademais,</w:t>
      </w:r>
      <w:r w:rsidR="007C34D6" w:rsidRPr="00F072BB">
        <w:rPr>
          <w:rFonts w:ascii="Arial" w:hAnsi="Arial" w:cs="Arial"/>
          <w:lang w:val="pt-BR"/>
        </w:rPr>
        <w:t xml:space="preserve"> você </w:t>
      </w:r>
      <w:r w:rsidRPr="00F072BB">
        <w:rPr>
          <w:rFonts w:ascii="Arial" w:hAnsi="Arial" w:cs="Arial"/>
          <w:lang w:val="pt-BR"/>
        </w:rPr>
        <w:t>tem conhecimento de</w:t>
      </w:r>
      <w:r w:rsidR="007C34D6" w:rsidRPr="00F072BB">
        <w:rPr>
          <w:rFonts w:ascii="Arial" w:hAnsi="Arial" w:cs="Arial"/>
          <w:lang w:val="pt-BR"/>
        </w:rPr>
        <w:t xml:space="preserve"> como o </w:t>
      </w:r>
      <w:r w:rsidR="007C34D6" w:rsidRPr="00F072BB">
        <w:rPr>
          <w:rFonts w:ascii="Arial" w:hAnsi="Arial" w:cs="Arial"/>
          <w:i/>
          <w:lang w:val="pt-BR"/>
        </w:rPr>
        <w:t>arm’s length</w:t>
      </w:r>
      <w:r w:rsidR="007C34D6" w:rsidRPr="00F072BB">
        <w:rPr>
          <w:rFonts w:ascii="Arial" w:hAnsi="Arial" w:cs="Arial"/>
          <w:lang w:val="pt-BR"/>
        </w:rPr>
        <w:t xml:space="preserve"> é determinado </w:t>
      </w:r>
      <w:r w:rsidR="00EF5394" w:rsidRPr="00F072BB">
        <w:rPr>
          <w:rFonts w:ascii="Arial" w:hAnsi="Arial" w:cs="Arial"/>
          <w:lang w:val="pt-BR"/>
        </w:rPr>
        <w:t xml:space="preserve">nessas </w:t>
      </w:r>
      <w:r w:rsidRPr="00F072BB">
        <w:rPr>
          <w:rFonts w:ascii="Arial" w:hAnsi="Arial" w:cs="Arial"/>
          <w:lang w:val="pt-BR"/>
        </w:rPr>
        <w:t>outra</w:t>
      </w:r>
      <w:r w:rsidR="007C34D6" w:rsidRPr="00F072BB">
        <w:rPr>
          <w:rFonts w:ascii="Arial" w:hAnsi="Arial" w:cs="Arial"/>
          <w:lang w:val="pt-BR"/>
        </w:rPr>
        <w:t xml:space="preserve">s </w:t>
      </w:r>
      <w:r w:rsidRPr="00F072BB">
        <w:rPr>
          <w:rFonts w:ascii="Arial" w:hAnsi="Arial" w:cs="Arial"/>
          <w:lang w:val="pt-BR"/>
        </w:rPr>
        <w:t>jurisdições</w:t>
      </w:r>
      <w:r w:rsidR="007C34D6" w:rsidRPr="00F072BB">
        <w:rPr>
          <w:rFonts w:ascii="Arial" w:hAnsi="Arial" w:cs="Arial"/>
          <w:lang w:val="pt-BR"/>
        </w:rPr>
        <w:t>? Se possível, forneça detalhes sobre a abordagem usada pela contraparte da transação.</w:t>
      </w:r>
    </w:p>
    <w:p w14:paraId="74B77B6D" w14:textId="3FE9B48B" w:rsidR="00E67D2B" w:rsidRPr="00F072BB" w:rsidRDefault="0074422E" w:rsidP="00B31A31">
      <w:pPr>
        <w:pStyle w:val="Num-DocParagraph"/>
        <w:rPr>
          <w:rFonts w:ascii="Arial" w:hAnsi="Arial" w:cs="Arial"/>
          <w:lang w:val="pt-BR"/>
        </w:rPr>
      </w:pPr>
      <w:r w:rsidRPr="00F072BB">
        <w:rPr>
          <w:rFonts w:ascii="Arial" w:hAnsi="Arial" w:cs="Arial"/>
          <w:lang w:val="pt-BR"/>
        </w:rPr>
        <w:t>2</w:t>
      </w:r>
      <w:r w:rsidR="00A9491C" w:rsidRPr="00F072BB">
        <w:rPr>
          <w:rFonts w:ascii="Arial" w:hAnsi="Arial" w:cs="Arial"/>
          <w:lang w:val="pt-BR"/>
        </w:rPr>
        <w:t xml:space="preserve">. </w:t>
      </w:r>
      <w:r w:rsidR="007C34D6" w:rsidRPr="00F072BB">
        <w:rPr>
          <w:rFonts w:ascii="Arial" w:hAnsi="Arial" w:cs="Arial"/>
          <w:lang w:val="pt-BR"/>
        </w:rPr>
        <w:t xml:space="preserve">O desenvolvimento de </w:t>
      </w:r>
      <w:r w:rsidR="007C34D6" w:rsidRPr="00F072BB">
        <w:rPr>
          <w:rFonts w:ascii="Arial" w:hAnsi="Arial" w:cs="Arial"/>
          <w:i/>
          <w:lang w:val="pt-BR"/>
        </w:rPr>
        <w:t>safe harbours</w:t>
      </w:r>
      <w:r w:rsidR="007C34D6" w:rsidRPr="00F072BB">
        <w:rPr>
          <w:rFonts w:ascii="Arial" w:hAnsi="Arial" w:cs="Arial"/>
          <w:lang w:val="pt-BR"/>
        </w:rPr>
        <w:t xml:space="preserve"> exige esforços significativos, por isso pode ser mais apropriado e razoável que um </w:t>
      </w:r>
      <w:r w:rsidR="00E67D2B" w:rsidRPr="00F072BB">
        <w:rPr>
          <w:rFonts w:ascii="Arial" w:hAnsi="Arial" w:cs="Arial"/>
          <w:i/>
          <w:lang w:val="pt-BR"/>
        </w:rPr>
        <w:t>safe harbour</w:t>
      </w:r>
      <w:r w:rsidR="007C34D6" w:rsidRPr="00F072BB">
        <w:rPr>
          <w:rFonts w:ascii="Arial" w:hAnsi="Arial" w:cs="Arial"/>
          <w:lang w:val="pt-BR"/>
        </w:rPr>
        <w:t xml:space="preserve"> seja projetado para lidar com situações em que </w:t>
      </w:r>
      <w:r w:rsidR="00EF5394" w:rsidRPr="00F072BB">
        <w:rPr>
          <w:rFonts w:ascii="Arial" w:hAnsi="Arial" w:cs="Arial"/>
          <w:lang w:val="pt-BR"/>
        </w:rPr>
        <w:t xml:space="preserve">existam </w:t>
      </w:r>
      <w:r w:rsidR="007C34D6" w:rsidRPr="00F072BB">
        <w:rPr>
          <w:rFonts w:ascii="Arial" w:hAnsi="Arial" w:cs="Arial"/>
          <w:lang w:val="pt-BR"/>
        </w:rPr>
        <w:t>numerosos contribuintes nas mesmas circunstâncias. Os parâmetros específicos de um</w:t>
      </w:r>
      <w:r w:rsidR="00E67D2B" w:rsidRPr="00F072BB">
        <w:rPr>
          <w:rFonts w:ascii="Arial" w:hAnsi="Arial" w:cs="Arial"/>
          <w:lang w:val="pt-BR"/>
        </w:rPr>
        <w:t xml:space="preserve"> </w:t>
      </w:r>
      <w:r w:rsidR="007C34D6" w:rsidRPr="00F072BB">
        <w:rPr>
          <w:rFonts w:ascii="Arial" w:hAnsi="Arial" w:cs="Arial"/>
          <w:i/>
          <w:lang w:val="pt-BR"/>
        </w:rPr>
        <w:t>safe harbour</w:t>
      </w:r>
      <w:r w:rsidR="007C34D6" w:rsidRPr="00F072BB">
        <w:rPr>
          <w:rFonts w:ascii="Arial" w:hAnsi="Arial" w:cs="Arial"/>
          <w:lang w:val="pt-BR"/>
        </w:rPr>
        <w:t xml:space="preserve"> seriam aplicados a vários contribuintes para justificar os esforços administrativos e torná-lo relevante para </w:t>
      </w:r>
      <w:r w:rsidR="00E67D2B" w:rsidRPr="00F072BB">
        <w:rPr>
          <w:rFonts w:ascii="Arial" w:hAnsi="Arial" w:cs="Arial"/>
          <w:lang w:val="pt-BR"/>
        </w:rPr>
        <w:t>diversas transações, e não meramente para</w:t>
      </w:r>
      <w:r w:rsidR="007C34D6" w:rsidRPr="00F072BB">
        <w:rPr>
          <w:rFonts w:ascii="Arial" w:hAnsi="Arial" w:cs="Arial"/>
          <w:lang w:val="pt-BR"/>
        </w:rPr>
        <w:t xml:space="preserve"> algumas </w:t>
      </w:r>
      <w:r w:rsidR="00E67D2B" w:rsidRPr="00F072BB">
        <w:rPr>
          <w:rFonts w:ascii="Arial" w:hAnsi="Arial" w:cs="Arial"/>
          <w:lang w:val="pt-BR"/>
        </w:rPr>
        <w:t xml:space="preserve">poucas </w:t>
      </w:r>
      <w:r w:rsidR="007C34D6" w:rsidRPr="00F072BB">
        <w:rPr>
          <w:rFonts w:ascii="Arial" w:hAnsi="Arial" w:cs="Arial"/>
          <w:lang w:val="pt-BR"/>
        </w:rPr>
        <w:t>transações</w:t>
      </w:r>
      <w:r w:rsidR="00566758" w:rsidRPr="00F072BB">
        <w:rPr>
          <w:rFonts w:ascii="Arial" w:hAnsi="Arial" w:cs="Arial"/>
          <w:lang w:val="pt-BR"/>
        </w:rPr>
        <w:t xml:space="preserve"> ou empresas multinacionais</w:t>
      </w:r>
      <w:r w:rsidR="007C34D6" w:rsidRPr="00F072BB">
        <w:rPr>
          <w:rFonts w:ascii="Arial" w:hAnsi="Arial" w:cs="Arial"/>
          <w:lang w:val="pt-BR"/>
        </w:rPr>
        <w:t xml:space="preserve"> (que</w:t>
      </w:r>
      <w:r w:rsidR="00E67D2B" w:rsidRPr="00F072BB">
        <w:rPr>
          <w:rFonts w:ascii="Arial" w:hAnsi="Arial" w:cs="Arial"/>
          <w:lang w:val="pt-BR"/>
        </w:rPr>
        <w:t xml:space="preserve"> no caso</w:t>
      </w:r>
      <w:r w:rsidR="007C34D6" w:rsidRPr="00F072BB">
        <w:rPr>
          <w:rFonts w:ascii="Arial" w:hAnsi="Arial" w:cs="Arial"/>
          <w:lang w:val="pt-BR"/>
        </w:rPr>
        <w:t xml:space="preserve"> poderiam ser cobertas </w:t>
      </w:r>
      <w:r w:rsidR="00EF5394" w:rsidRPr="00F072BB">
        <w:rPr>
          <w:rFonts w:ascii="Arial" w:hAnsi="Arial" w:cs="Arial"/>
          <w:lang w:val="pt-BR"/>
        </w:rPr>
        <w:t xml:space="preserve">pelos </w:t>
      </w:r>
      <w:r w:rsidR="007C34D6" w:rsidRPr="00F072BB">
        <w:rPr>
          <w:rFonts w:ascii="Arial" w:hAnsi="Arial" w:cs="Arial"/>
          <w:lang w:val="pt-BR"/>
        </w:rPr>
        <w:t xml:space="preserve">APAs ou </w:t>
      </w:r>
      <w:r w:rsidR="00E67D2B" w:rsidRPr="00F072BB">
        <w:rPr>
          <w:rFonts w:ascii="Arial" w:hAnsi="Arial" w:cs="Arial"/>
          <w:lang w:val="pt-BR"/>
        </w:rPr>
        <w:t>estrutura</w:t>
      </w:r>
      <w:r w:rsidR="00F6360D">
        <w:rPr>
          <w:rFonts w:ascii="Arial" w:hAnsi="Arial" w:cs="Arial"/>
          <w:lang w:val="pt-BR"/>
        </w:rPr>
        <w:t>s</w:t>
      </w:r>
      <w:r w:rsidR="00E67D2B" w:rsidRPr="00F072BB">
        <w:rPr>
          <w:rFonts w:ascii="Arial" w:hAnsi="Arial" w:cs="Arial"/>
          <w:lang w:val="pt-BR"/>
        </w:rPr>
        <w:t xml:space="preserve"> de APAs</w:t>
      </w:r>
      <w:r w:rsidR="007C34D6" w:rsidRPr="00F072BB">
        <w:rPr>
          <w:rFonts w:ascii="Arial" w:hAnsi="Arial" w:cs="Arial"/>
          <w:lang w:val="pt-BR"/>
        </w:rPr>
        <w:t xml:space="preserve">). </w:t>
      </w:r>
    </w:p>
    <w:p w14:paraId="1A06948E" w14:textId="55A3B2E1" w:rsidR="007C34D6" w:rsidRPr="00F072BB" w:rsidRDefault="00E67D2B" w:rsidP="00B31A31">
      <w:pPr>
        <w:pStyle w:val="Num-DocParagraph"/>
        <w:rPr>
          <w:rFonts w:ascii="Arial" w:hAnsi="Arial" w:cs="Arial"/>
          <w:lang w:val="pt-BR"/>
        </w:rPr>
      </w:pPr>
      <w:r w:rsidRPr="00F072BB">
        <w:rPr>
          <w:rFonts w:ascii="Arial" w:hAnsi="Arial" w:cs="Arial"/>
          <w:lang w:val="pt-BR"/>
        </w:rPr>
        <w:t>Nesse sentido, pergunta-se: E</w:t>
      </w:r>
      <w:r w:rsidR="007C34D6" w:rsidRPr="00F072BB">
        <w:rPr>
          <w:rFonts w:ascii="Arial" w:hAnsi="Arial" w:cs="Arial"/>
          <w:lang w:val="pt-BR"/>
        </w:rPr>
        <w:t>xistem outros contribuintes que compartilham pontos comuns descritos em suas transações?</w:t>
      </w:r>
    </w:p>
    <w:p w14:paraId="760BCCAC" w14:textId="5BAC2D9C" w:rsidR="00E067A6" w:rsidRPr="00F072BB" w:rsidRDefault="00A87460" w:rsidP="00E067A6">
      <w:pPr>
        <w:pStyle w:val="Num-DocParagraph"/>
        <w:ind w:left="720"/>
        <w:rPr>
          <w:rFonts w:ascii="Arial" w:hAnsi="Arial" w:cs="Arial"/>
          <w:lang w:val="pt-BR"/>
        </w:rPr>
      </w:pPr>
      <w:sdt>
        <w:sdtPr>
          <w:rPr>
            <w:rFonts w:ascii="Arial" w:hAnsi="Arial" w:cs="Arial"/>
            <w:lang w:val="pt-BR"/>
          </w:rPr>
          <w:id w:val="1655099860"/>
          <w14:checkbox>
            <w14:checked w14:val="0"/>
            <w14:checkedState w14:val="2612" w14:font="MS Gothic"/>
            <w14:uncheckedState w14:val="2610" w14:font="MS Gothic"/>
          </w14:checkbox>
        </w:sdtPr>
        <w:sdtEndPr/>
        <w:sdtContent>
          <w:r w:rsidR="00E067A6" w:rsidRPr="00F072BB">
            <w:rPr>
              <w:rFonts w:ascii="Segoe UI Symbol" w:hAnsi="Segoe UI Symbol" w:cs="Segoe UI Symbol"/>
              <w:lang w:val="pt-BR"/>
            </w:rPr>
            <w:t>☐</w:t>
          </w:r>
        </w:sdtContent>
      </w:sdt>
      <w:r w:rsidR="00E067A6" w:rsidRPr="00F072BB">
        <w:rPr>
          <w:rFonts w:ascii="Arial" w:hAnsi="Arial" w:cs="Arial"/>
          <w:lang w:val="pt-BR"/>
        </w:rPr>
        <w:t xml:space="preserve"> </w:t>
      </w:r>
      <w:r w:rsidR="007C34D6" w:rsidRPr="00F072BB">
        <w:rPr>
          <w:rFonts w:ascii="Arial" w:hAnsi="Arial" w:cs="Arial"/>
          <w:lang w:val="pt-BR"/>
        </w:rPr>
        <w:t>Sim</w:t>
      </w:r>
      <w:r w:rsidR="00E067A6" w:rsidRPr="00F072BB">
        <w:rPr>
          <w:rFonts w:ascii="Arial" w:hAnsi="Arial" w:cs="Arial"/>
          <w:lang w:val="pt-BR"/>
        </w:rPr>
        <w:t xml:space="preserve">. </w:t>
      </w:r>
    </w:p>
    <w:p w14:paraId="674C86C5" w14:textId="4CAAA277" w:rsidR="00B31A31" w:rsidRPr="00F072BB" w:rsidRDefault="00A87460" w:rsidP="00E067A6">
      <w:pPr>
        <w:pStyle w:val="Num-DocParagraph"/>
        <w:ind w:left="720"/>
        <w:rPr>
          <w:rFonts w:ascii="Arial" w:hAnsi="Arial" w:cs="Arial"/>
          <w:lang w:val="pt-BR"/>
        </w:rPr>
      </w:pPr>
      <w:sdt>
        <w:sdtPr>
          <w:rPr>
            <w:rFonts w:ascii="Arial" w:hAnsi="Arial" w:cs="Arial"/>
            <w:lang w:val="pt-BR"/>
          </w:rPr>
          <w:id w:val="347687536"/>
          <w14:checkbox>
            <w14:checked w14:val="0"/>
            <w14:checkedState w14:val="2612" w14:font="MS Gothic"/>
            <w14:uncheckedState w14:val="2610" w14:font="MS Gothic"/>
          </w14:checkbox>
        </w:sdtPr>
        <w:sdtEndPr/>
        <w:sdtContent>
          <w:r w:rsidR="00E067A6" w:rsidRPr="00F072BB">
            <w:rPr>
              <w:rFonts w:ascii="Segoe UI Symbol" w:hAnsi="Segoe UI Symbol" w:cs="Segoe UI Symbol"/>
              <w:lang w:val="pt-BR"/>
            </w:rPr>
            <w:t>☐</w:t>
          </w:r>
        </w:sdtContent>
      </w:sdt>
      <w:r w:rsidR="00E067A6" w:rsidRPr="00F072BB">
        <w:rPr>
          <w:rFonts w:ascii="Arial" w:hAnsi="Arial" w:cs="Arial"/>
          <w:lang w:val="pt-BR"/>
        </w:rPr>
        <w:t xml:space="preserve"> </w:t>
      </w:r>
      <w:r w:rsidR="007C34D6" w:rsidRPr="00F072BB">
        <w:rPr>
          <w:rFonts w:ascii="Arial" w:hAnsi="Arial" w:cs="Arial"/>
          <w:lang w:val="pt-BR"/>
        </w:rPr>
        <w:t>Não</w:t>
      </w:r>
      <w:r w:rsidR="00E067A6" w:rsidRPr="00F072BB">
        <w:rPr>
          <w:rFonts w:ascii="Arial" w:hAnsi="Arial" w:cs="Arial"/>
          <w:lang w:val="pt-BR"/>
        </w:rPr>
        <w:t>.</w:t>
      </w:r>
    </w:p>
    <w:p w14:paraId="71743DA3" w14:textId="227362F1" w:rsidR="00FA4B8D" w:rsidRPr="00F072BB" w:rsidRDefault="007C34D6" w:rsidP="006E701D">
      <w:pPr>
        <w:pStyle w:val="Num-DocParagraph"/>
        <w:rPr>
          <w:rFonts w:ascii="Arial" w:hAnsi="Arial" w:cs="Arial"/>
          <w:lang w:val="pt-BR"/>
        </w:rPr>
      </w:pPr>
      <w:r w:rsidRPr="00F072BB">
        <w:rPr>
          <w:rFonts w:ascii="Arial" w:hAnsi="Arial" w:cs="Arial"/>
          <w:lang w:val="pt-BR"/>
        </w:rPr>
        <w:t xml:space="preserve">Em caso afirmativo, você pode </w:t>
      </w:r>
      <w:r w:rsidR="00566758" w:rsidRPr="00F072BB">
        <w:rPr>
          <w:rFonts w:ascii="Arial" w:hAnsi="Arial" w:cs="Arial"/>
          <w:lang w:val="pt-BR"/>
        </w:rPr>
        <w:t xml:space="preserve">identificar </w:t>
      </w:r>
      <w:r w:rsidR="00880F52" w:rsidRPr="00F072BB">
        <w:rPr>
          <w:rFonts w:ascii="Arial" w:hAnsi="Arial" w:cs="Arial"/>
          <w:lang w:val="pt-BR"/>
        </w:rPr>
        <w:t xml:space="preserve">outros </w:t>
      </w:r>
      <w:r w:rsidRPr="00F072BB">
        <w:rPr>
          <w:rFonts w:ascii="Arial" w:hAnsi="Arial" w:cs="Arial"/>
          <w:lang w:val="pt-BR"/>
        </w:rPr>
        <w:t xml:space="preserve">contribuintes relevantes que podem se beneficiar do mesmo tipo de </w:t>
      </w:r>
      <w:r w:rsidRPr="00F072BB">
        <w:rPr>
          <w:rFonts w:ascii="Arial" w:hAnsi="Arial" w:cs="Arial"/>
          <w:i/>
          <w:lang w:val="pt-BR"/>
        </w:rPr>
        <w:t>safe harbour</w:t>
      </w:r>
      <w:r w:rsidRPr="00F072BB">
        <w:rPr>
          <w:rFonts w:ascii="Arial" w:hAnsi="Arial" w:cs="Arial"/>
          <w:lang w:val="pt-BR"/>
        </w:rPr>
        <w:t>?</w:t>
      </w:r>
    </w:p>
    <w:p w14:paraId="66952155" w14:textId="31E10661" w:rsidR="00C81C10" w:rsidRPr="00F072BB" w:rsidRDefault="00C81C10" w:rsidP="0074422E">
      <w:pPr>
        <w:pStyle w:val="Num-DocParagraph"/>
        <w:rPr>
          <w:rFonts w:ascii="Arial" w:hAnsi="Arial" w:cs="Arial"/>
          <w:lang w:val="pt-BR"/>
        </w:rPr>
      </w:pPr>
      <w:r w:rsidRPr="00F072BB">
        <w:rPr>
          <w:rFonts w:ascii="Arial" w:hAnsi="Arial" w:cs="Arial"/>
          <w:lang w:val="pt-BR"/>
        </w:rPr>
        <w:lastRenderedPageBreak/>
        <w:t xml:space="preserve">3. Em cada um dos casos específicos em que você propõe o desenvolvimento de um </w:t>
      </w:r>
      <w:r w:rsidR="0056530C" w:rsidRPr="00F072BB">
        <w:rPr>
          <w:rFonts w:ascii="Arial" w:hAnsi="Arial" w:cs="Arial"/>
          <w:i/>
          <w:lang w:val="pt-BR"/>
        </w:rPr>
        <w:t>safe harbour</w:t>
      </w:r>
      <w:r w:rsidR="0056530C" w:rsidRPr="00F072BB">
        <w:rPr>
          <w:rFonts w:ascii="Arial" w:hAnsi="Arial" w:cs="Arial"/>
          <w:lang w:val="pt-BR"/>
        </w:rPr>
        <w:t>, qual método</w:t>
      </w:r>
      <w:r w:rsidR="001A61E9" w:rsidRPr="00F072BB">
        <w:rPr>
          <w:rFonts w:ascii="Arial" w:hAnsi="Arial" w:cs="Arial"/>
          <w:lang w:val="pt-BR"/>
        </w:rPr>
        <w:t xml:space="preserve"> de preços de transferência</w:t>
      </w:r>
      <w:r w:rsidR="0056530C" w:rsidRPr="00F072BB">
        <w:rPr>
          <w:rFonts w:ascii="Arial" w:hAnsi="Arial" w:cs="Arial"/>
          <w:lang w:val="pt-BR"/>
        </w:rPr>
        <w:t xml:space="preserve"> seria o</w:t>
      </w:r>
      <w:r w:rsidRPr="00F072BB">
        <w:rPr>
          <w:rFonts w:ascii="Arial" w:hAnsi="Arial" w:cs="Arial"/>
          <w:lang w:val="pt-BR"/>
        </w:rPr>
        <w:t xml:space="preserve"> mais apropriado no caso em questão? Forneça também detalhes sobre o uso desse méto</w:t>
      </w:r>
      <w:r w:rsidR="0056530C" w:rsidRPr="00F072BB">
        <w:rPr>
          <w:rFonts w:ascii="Arial" w:hAnsi="Arial" w:cs="Arial"/>
          <w:lang w:val="pt-BR"/>
        </w:rPr>
        <w:t>do - por exemplo, indicadores do</w:t>
      </w:r>
      <w:r w:rsidRPr="00F072BB">
        <w:rPr>
          <w:rFonts w:ascii="Arial" w:hAnsi="Arial" w:cs="Arial"/>
          <w:lang w:val="pt-BR"/>
        </w:rPr>
        <w:t xml:space="preserve"> nível de lucro (</w:t>
      </w:r>
      <w:r w:rsidR="0056530C" w:rsidRPr="00F072BB">
        <w:rPr>
          <w:rFonts w:ascii="Arial" w:hAnsi="Arial" w:cs="Arial"/>
          <w:i/>
          <w:lang w:val="pt-BR"/>
        </w:rPr>
        <w:t>profit level indicators</w:t>
      </w:r>
      <w:r w:rsidR="0056530C" w:rsidRPr="00F072BB">
        <w:rPr>
          <w:rFonts w:ascii="Arial" w:hAnsi="Arial" w:cs="Arial"/>
          <w:lang w:val="pt-BR"/>
        </w:rPr>
        <w:t xml:space="preserve"> - PLI) -  que você sugeriria, </w:t>
      </w:r>
      <w:r w:rsidRPr="00F072BB">
        <w:rPr>
          <w:rFonts w:ascii="Arial" w:hAnsi="Arial" w:cs="Arial"/>
          <w:lang w:val="pt-BR"/>
        </w:rPr>
        <w:t xml:space="preserve">e </w:t>
      </w:r>
      <w:r w:rsidR="0056530C" w:rsidRPr="00F072BB">
        <w:rPr>
          <w:rFonts w:ascii="Arial" w:hAnsi="Arial" w:cs="Arial"/>
          <w:lang w:val="pt-BR"/>
        </w:rPr>
        <w:t>forneça também, as</w:t>
      </w:r>
      <w:r w:rsidRPr="00F072BB">
        <w:rPr>
          <w:rFonts w:ascii="Arial" w:hAnsi="Arial" w:cs="Arial"/>
          <w:lang w:val="pt-BR"/>
        </w:rPr>
        <w:t xml:space="preserve"> informações</w:t>
      </w:r>
      <w:r w:rsidR="0056530C" w:rsidRPr="00F072BB">
        <w:rPr>
          <w:rFonts w:ascii="Arial" w:hAnsi="Arial" w:cs="Arial"/>
          <w:lang w:val="pt-BR"/>
        </w:rPr>
        <w:t xml:space="preserve"> usadas como base para suas sugestões.</w:t>
      </w:r>
    </w:p>
    <w:p w14:paraId="6C0F9BE1" w14:textId="14F57AE4" w:rsidR="0074422E" w:rsidRPr="00F072BB" w:rsidRDefault="00C81C10" w:rsidP="0074422E">
      <w:pPr>
        <w:pStyle w:val="Num-DocParagraph"/>
        <w:rPr>
          <w:rFonts w:ascii="Arial" w:hAnsi="Arial" w:cs="Arial"/>
          <w:lang w:val="pt-BR"/>
        </w:rPr>
      </w:pPr>
      <w:r w:rsidRPr="00F072BB">
        <w:rPr>
          <w:rFonts w:ascii="Arial" w:hAnsi="Arial" w:cs="Arial"/>
          <w:lang w:val="pt-BR"/>
        </w:rPr>
        <w:t>4. Você poderia fornecer um</w:t>
      </w:r>
      <w:r w:rsidR="001A61E9" w:rsidRPr="00F072BB">
        <w:rPr>
          <w:rFonts w:ascii="Arial" w:hAnsi="Arial" w:cs="Arial"/>
          <w:lang w:val="pt-BR"/>
        </w:rPr>
        <w:t xml:space="preserve">a análise </w:t>
      </w:r>
      <w:r w:rsidRPr="00F072BB">
        <w:rPr>
          <w:rFonts w:ascii="Arial" w:hAnsi="Arial" w:cs="Arial"/>
          <w:lang w:val="pt-BR"/>
        </w:rPr>
        <w:t>econômic</w:t>
      </w:r>
      <w:r w:rsidR="001A61E9" w:rsidRPr="00F072BB">
        <w:rPr>
          <w:rFonts w:ascii="Arial" w:hAnsi="Arial" w:cs="Arial"/>
          <w:lang w:val="pt-BR"/>
        </w:rPr>
        <w:t>a</w:t>
      </w:r>
      <w:r w:rsidRPr="00F072BB">
        <w:rPr>
          <w:rFonts w:ascii="Arial" w:hAnsi="Arial" w:cs="Arial"/>
          <w:lang w:val="pt-BR"/>
        </w:rPr>
        <w:t xml:space="preserve"> para o seu caso específico para justificar a abordagem proposta?</w:t>
      </w:r>
    </w:p>
    <w:p w14:paraId="2DDC078B" w14:textId="28783267" w:rsidR="0074422E" w:rsidRPr="00F072BB" w:rsidRDefault="0074422E" w:rsidP="0074422E">
      <w:pPr>
        <w:pStyle w:val="Num-DocParagraph"/>
        <w:rPr>
          <w:rFonts w:ascii="Arial" w:hAnsi="Arial" w:cs="Arial"/>
          <w:lang w:val="pt-BR"/>
        </w:rPr>
      </w:pPr>
      <w:r w:rsidRPr="00F072BB">
        <w:rPr>
          <w:rFonts w:ascii="Arial" w:hAnsi="Arial" w:cs="Arial"/>
          <w:lang w:val="pt-BR"/>
        </w:rPr>
        <w:t xml:space="preserve">5. </w:t>
      </w:r>
      <w:r w:rsidR="001A61E9" w:rsidRPr="00F072BB">
        <w:rPr>
          <w:rFonts w:ascii="Arial" w:hAnsi="Arial" w:cs="Arial"/>
          <w:lang w:val="pt-BR"/>
        </w:rPr>
        <w:t xml:space="preserve">Para quais etapas da análise de preços de transferência </w:t>
      </w:r>
      <w:r w:rsidR="00C81C10" w:rsidRPr="00F072BB">
        <w:rPr>
          <w:rFonts w:ascii="Arial" w:hAnsi="Arial" w:cs="Arial"/>
          <w:lang w:val="pt-BR"/>
        </w:rPr>
        <w:t xml:space="preserve">você considera que um </w:t>
      </w:r>
      <w:r w:rsidR="00C81C10" w:rsidRPr="00F072BB">
        <w:rPr>
          <w:rFonts w:ascii="Arial" w:hAnsi="Arial" w:cs="Arial"/>
          <w:i/>
          <w:lang w:val="pt-BR"/>
        </w:rPr>
        <w:t>safe harbour</w:t>
      </w:r>
      <w:r w:rsidR="00C81C10" w:rsidRPr="00F072BB">
        <w:rPr>
          <w:rFonts w:ascii="Arial" w:hAnsi="Arial" w:cs="Arial"/>
          <w:lang w:val="pt-BR"/>
        </w:rPr>
        <w:t xml:space="preserve"> poderá oferecer alívio em seus esforços de conformidade</w:t>
      </w:r>
      <w:r w:rsidR="0056530C" w:rsidRPr="00F072BB">
        <w:rPr>
          <w:rFonts w:ascii="Arial" w:hAnsi="Arial" w:cs="Arial"/>
          <w:lang w:val="pt-BR"/>
        </w:rPr>
        <w:t xml:space="preserve"> tributária</w:t>
      </w:r>
      <w:r w:rsidR="001A61E9" w:rsidRPr="00F072BB">
        <w:rPr>
          <w:rFonts w:ascii="Arial" w:hAnsi="Arial" w:cs="Arial"/>
          <w:lang w:val="pt-BR"/>
        </w:rPr>
        <w:t xml:space="preserve"> (e.g. </w:t>
      </w:r>
      <w:r w:rsidR="001A61E9" w:rsidRPr="00F072BB">
        <w:rPr>
          <w:rFonts w:ascii="Arial" w:hAnsi="Arial" w:cs="Arial"/>
          <w:i/>
          <w:lang w:val="pt-BR"/>
        </w:rPr>
        <w:t>safe harbour</w:t>
      </w:r>
      <w:r w:rsidR="001A61E9" w:rsidRPr="00F072BB">
        <w:rPr>
          <w:rFonts w:ascii="Arial" w:hAnsi="Arial" w:cs="Arial"/>
          <w:lang w:val="pt-BR"/>
        </w:rPr>
        <w:t xml:space="preserve"> relacionado ao  processo - como a escolha do método mais apropriado ou </w:t>
      </w:r>
      <w:r w:rsidR="001A61E9" w:rsidRPr="00F072BB">
        <w:rPr>
          <w:rFonts w:ascii="Arial" w:hAnsi="Arial" w:cs="Arial"/>
          <w:i/>
          <w:lang w:val="pt-BR"/>
        </w:rPr>
        <w:t>safe harbour</w:t>
      </w:r>
      <w:r w:rsidR="001A61E9" w:rsidRPr="00F072BB">
        <w:rPr>
          <w:rFonts w:ascii="Arial" w:hAnsi="Arial" w:cs="Arial"/>
          <w:lang w:val="pt-BR"/>
        </w:rPr>
        <w:t xml:space="preserve"> contendo orientações sobre a determinação da seleção de comparáveis ou também fornecendo orientações sobre a aplicação apropriada do método específico e comparáveis)</w:t>
      </w:r>
      <w:r w:rsidR="00C81C10" w:rsidRPr="00F072BB">
        <w:rPr>
          <w:rFonts w:ascii="Arial" w:hAnsi="Arial" w:cs="Arial"/>
          <w:lang w:val="pt-BR"/>
        </w:rPr>
        <w:t>?</w:t>
      </w:r>
    </w:p>
    <w:p w14:paraId="06FD8579" w14:textId="77DC4E9B" w:rsidR="00C81C10" w:rsidRPr="00F072BB" w:rsidRDefault="0074422E" w:rsidP="0074422E">
      <w:pPr>
        <w:pStyle w:val="Num-DocParagraph"/>
        <w:rPr>
          <w:rFonts w:ascii="Arial" w:hAnsi="Arial" w:cs="Arial"/>
          <w:lang w:val="pt-BR"/>
        </w:rPr>
      </w:pPr>
      <w:r w:rsidRPr="00F072BB">
        <w:rPr>
          <w:rFonts w:ascii="Arial" w:hAnsi="Arial" w:cs="Arial"/>
          <w:lang w:val="pt-BR"/>
        </w:rPr>
        <w:t xml:space="preserve">6. </w:t>
      </w:r>
      <w:r w:rsidR="00C81C10" w:rsidRPr="00F072BB">
        <w:rPr>
          <w:rFonts w:ascii="Arial" w:hAnsi="Arial" w:cs="Arial"/>
          <w:lang w:val="pt-BR"/>
        </w:rPr>
        <w:t xml:space="preserve">Os </w:t>
      </w:r>
      <w:r w:rsidR="0056530C" w:rsidRPr="00F072BB">
        <w:rPr>
          <w:rFonts w:ascii="Arial" w:hAnsi="Arial" w:cs="Arial"/>
          <w:i/>
          <w:lang w:val="pt-BR"/>
        </w:rPr>
        <w:t>safe harbours</w:t>
      </w:r>
      <w:r w:rsidR="00C81C10" w:rsidRPr="00F072BB">
        <w:rPr>
          <w:rFonts w:ascii="Arial" w:hAnsi="Arial" w:cs="Arial"/>
          <w:lang w:val="pt-BR"/>
        </w:rPr>
        <w:t xml:space="preserve"> que você propõe correspondem às políticas de preços de transferência aplicadas pelos membros do seu grupo no outro lado da transação específica?</w:t>
      </w:r>
    </w:p>
    <w:p w14:paraId="7DDB157F" w14:textId="36EADC8D" w:rsidR="00A9491C" w:rsidRPr="00F072BB" w:rsidRDefault="0074422E" w:rsidP="00A9491C">
      <w:pPr>
        <w:pStyle w:val="Num-DocParagraph"/>
        <w:rPr>
          <w:rFonts w:ascii="Arial" w:hAnsi="Arial" w:cs="Arial"/>
          <w:lang w:val="pt-BR"/>
        </w:rPr>
      </w:pPr>
      <w:r w:rsidRPr="00F072BB">
        <w:rPr>
          <w:rFonts w:ascii="Arial" w:hAnsi="Arial" w:cs="Arial"/>
          <w:lang w:val="pt-BR"/>
        </w:rPr>
        <w:t>7</w:t>
      </w:r>
      <w:r w:rsidR="00A9491C" w:rsidRPr="00F072BB">
        <w:rPr>
          <w:rFonts w:ascii="Arial" w:hAnsi="Arial" w:cs="Arial"/>
          <w:lang w:val="pt-BR"/>
        </w:rPr>
        <w:t xml:space="preserve">. </w:t>
      </w:r>
      <w:r w:rsidR="00D730F7" w:rsidRPr="00F072BB">
        <w:rPr>
          <w:rFonts w:ascii="Arial" w:hAnsi="Arial" w:cs="Arial"/>
          <w:lang w:val="pt-BR"/>
        </w:rPr>
        <w:t xml:space="preserve">Para as transações que seriam cobertas pelos </w:t>
      </w:r>
      <w:r w:rsidR="00D730F7" w:rsidRPr="00F072BB">
        <w:rPr>
          <w:rFonts w:ascii="Arial" w:hAnsi="Arial" w:cs="Arial"/>
          <w:i/>
          <w:lang w:val="pt-BR"/>
        </w:rPr>
        <w:t>safe harbours</w:t>
      </w:r>
      <w:r w:rsidR="00D730F7" w:rsidRPr="00F072BB">
        <w:rPr>
          <w:rFonts w:ascii="Arial" w:hAnsi="Arial" w:cs="Arial"/>
          <w:lang w:val="pt-BR"/>
        </w:rPr>
        <w:t>, há situações nas quais você prevê uma falta de dados comp</w:t>
      </w:r>
      <w:r w:rsidR="0056530C" w:rsidRPr="00F072BB">
        <w:rPr>
          <w:rFonts w:ascii="Arial" w:hAnsi="Arial" w:cs="Arial"/>
          <w:lang w:val="pt-BR"/>
        </w:rPr>
        <w:t>aráveis? Especifique o motivo (por exemplo, ausência de comparáveis interna</w:t>
      </w:r>
      <w:r w:rsidR="00D730F7" w:rsidRPr="00F072BB">
        <w:rPr>
          <w:rFonts w:ascii="Arial" w:hAnsi="Arial" w:cs="Arial"/>
          <w:lang w:val="pt-BR"/>
        </w:rPr>
        <w:t>s, falta de dados publicamente di</w:t>
      </w:r>
      <w:r w:rsidR="0056530C" w:rsidRPr="00F072BB">
        <w:rPr>
          <w:rFonts w:ascii="Arial" w:hAnsi="Arial" w:cs="Arial"/>
          <w:lang w:val="pt-BR"/>
        </w:rPr>
        <w:t>sponíveis ou comparáveis externa</w:t>
      </w:r>
      <w:r w:rsidR="00D730F7" w:rsidRPr="00F072BB">
        <w:rPr>
          <w:rFonts w:ascii="Arial" w:hAnsi="Arial" w:cs="Arial"/>
          <w:lang w:val="pt-BR"/>
        </w:rPr>
        <w:t>s, etc.</w:t>
      </w:r>
      <w:r w:rsidR="00B549AD" w:rsidRPr="00F072BB">
        <w:rPr>
          <w:rFonts w:ascii="Arial" w:hAnsi="Arial" w:cs="Arial"/>
          <w:lang w:val="pt-BR"/>
        </w:rPr>
        <w:t>).</w:t>
      </w:r>
      <w:r w:rsidR="0003265F" w:rsidRPr="00F072BB">
        <w:rPr>
          <w:rFonts w:ascii="Arial" w:hAnsi="Arial" w:cs="Arial"/>
          <w:lang w:val="pt-BR"/>
        </w:rPr>
        <w:t xml:space="preserve"> </w:t>
      </w:r>
    </w:p>
    <w:p w14:paraId="2836EECC" w14:textId="2BC171FA" w:rsidR="00FA4B8D" w:rsidRPr="00F072BB" w:rsidRDefault="00D730F7" w:rsidP="00A9491C">
      <w:pPr>
        <w:pStyle w:val="Num-DocParagraph"/>
        <w:rPr>
          <w:rFonts w:ascii="Arial" w:hAnsi="Arial" w:cs="Arial"/>
          <w:b/>
          <w:lang w:val="pt-BR"/>
        </w:rPr>
      </w:pPr>
      <w:r w:rsidRPr="00F072BB">
        <w:rPr>
          <w:rFonts w:ascii="Arial" w:hAnsi="Arial" w:cs="Arial"/>
          <w:b/>
          <w:lang w:val="pt-BR"/>
        </w:rPr>
        <w:t>Uso de informações comparáveis disponíveis</w:t>
      </w:r>
    </w:p>
    <w:p w14:paraId="6E0487DE" w14:textId="0222D6AC" w:rsidR="00A9491C" w:rsidRPr="00F072BB" w:rsidRDefault="006E701D" w:rsidP="00A9491C">
      <w:pPr>
        <w:pStyle w:val="Num-DocParagraph"/>
        <w:rPr>
          <w:rFonts w:ascii="Arial" w:hAnsi="Arial" w:cs="Arial"/>
          <w:lang w:val="pt-BR"/>
        </w:rPr>
      </w:pPr>
      <w:r w:rsidRPr="00F072BB">
        <w:rPr>
          <w:rFonts w:ascii="Arial" w:hAnsi="Arial" w:cs="Arial"/>
          <w:lang w:val="pt-BR"/>
        </w:rPr>
        <w:t>8</w:t>
      </w:r>
      <w:r w:rsidR="00C25BB5" w:rsidRPr="00F072BB">
        <w:rPr>
          <w:rFonts w:ascii="Arial" w:hAnsi="Arial" w:cs="Arial"/>
          <w:lang w:val="pt-BR"/>
        </w:rPr>
        <w:t xml:space="preserve">. </w:t>
      </w:r>
      <w:r w:rsidR="00D730F7" w:rsidRPr="00F072BB">
        <w:rPr>
          <w:rFonts w:ascii="Arial" w:hAnsi="Arial" w:cs="Arial"/>
          <w:lang w:val="pt-BR"/>
        </w:rPr>
        <w:t>Caso existam dados comparáveis que você possa usar no seu caso</w:t>
      </w:r>
      <w:r w:rsidR="002C680D" w:rsidRPr="00F072BB">
        <w:rPr>
          <w:rFonts w:ascii="Arial" w:hAnsi="Arial" w:cs="Arial"/>
          <w:lang w:val="pt-BR"/>
        </w:rPr>
        <w:t xml:space="preserve"> específico</w:t>
      </w:r>
      <w:r w:rsidR="00D730F7" w:rsidRPr="00F072BB">
        <w:rPr>
          <w:rFonts w:ascii="Arial" w:hAnsi="Arial" w:cs="Arial"/>
          <w:lang w:val="pt-BR"/>
        </w:rPr>
        <w:t>, você pode fornecer detalhes sobre quais são os dados comparáveis locais relevantes disponíveis?</w:t>
      </w:r>
    </w:p>
    <w:p w14:paraId="3EDD5446" w14:textId="35900FCB" w:rsidR="00A9491C" w:rsidRPr="00F072BB" w:rsidRDefault="006E701D" w:rsidP="00A9491C">
      <w:pPr>
        <w:pStyle w:val="Num-DocParagraph"/>
        <w:rPr>
          <w:rFonts w:ascii="Arial" w:hAnsi="Arial" w:cs="Arial"/>
          <w:lang w:val="pt-BR"/>
        </w:rPr>
      </w:pPr>
      <w:r w:rsidRPr="00F072BB">
        <w:rPr>
          <w:rFonts w:ascii="Arial" w:hAnsi="Arial" w:cs="Arial"/>
          <w:lang w:val="pt-BR"/>
        </w:rPr>
        <w:t>9</w:t>
      </w:r>
      <w:r w:rsidR="00C25BB5" w:rsidRPr="00F072BB">
        <w:rPr>
          <w:rFonts w:ascii="Arial" w:hAnsi="Arial" w:cs="Arial"/>
          <w:lang w:val="pt-BR"/>
        </w:rPr>
        <w:t xml:space="preserve">. </w:t>
      </w:r>
      <w:r w:rsidR="00D730F7" w:rsidRPr="00F072BB">
        <w:rPr>
          <w:rFonts w:ascii="Arial" w:hAnsi="Arial" w:cs="Arial"/>
          <w:lang w:val="pt-BR"/>
        </w:rPr>
        <w:t>Você tem alguma preocupação com a confiabilidade desses dados? Se sim, você poderia explicar o porquê?</w:t>
      </w:r>
    </w:p>
    <w:p w14:paraId="45368B4E" w14:textId="4F6504DA" w:rsidR="00D730F7" w:rsidRPr="00F072BB" w:rsidRDefault="006E701D" w:rsidP="00A9491C">
      <w:pPr>
        <w:pStyle w:val="Num-DocParagraph"/>
        <w:rPr>
          <w:rFonts w:ascii="Arial" w:hAnsi="Arial" w:cs="Arial"/>
          <w:lang w:val="pt-BR"/>
        </w:rPr>
      </w:pPr>
      <w:r w:rsidRPr="00F072BB">
        <w:rPr>
          <w:rFonts w:ascii="Arial" w:hAnsi="Arial" w:cs="Arial"/>
          <w:lang w:val="pt-BR"/>
        </w:rPr>
        <w:t>10</w:t>
      </w:r>
      <w:r w:rsidR="00C25BB5" w:rsidRPr="00F072BB">
        <w:rPr>
          <w:rFonts w:ascii="Arial" w:hAnsi="Arial" w:cs="Arial"/>
          <w:lang w:val="pt-BR"/>
        </w:rPr>
        <w:t xml:space="preserve">. </w:t>
      </w:r>
      <w:r w:rsidR="00D730F7" w:rsidRPr="00F072BB">
        <w:rPr>
          <w:rFonts w:ascii="Arial" w:hAnsi="Arial" w:cs="Arial"/>
          <w:lang w:val="pt-BR"/>
        </w:rPr>
        <w:t xml:space="preserve">Na ausência de dados comparáveis locais, a aplicação de ajustes de comparabilidade em dados comparáveis estrangeiros representa um desafio para você? Você </w:t>
      </w:r>
      <w:r w:rsidR="00BA21F0" w:rsidRPr="00F072BB">
        <w:rPr>
          <w:rFonts w:ascii="Arial" w:hAnsi="Arial" w:cs="Arial"/>
          <w:lang w:val="pt-BR"/>
        </w:rPr>
        <w:t xml:space="preserve">acha oportuno o desenvolvimento de </w:t>
      </w:r>
      <w:r w:rsidR="007A30F2" w:rsidRPr="00F072BB">
        <w:rPr>
          <w:rFonts w:ascii="Arial" w:hAnsi="Arial" w:cs="Arial"/>
          <w:lang w:val="pt-BR"/>
        </w:rPr>
        <w:t>orientações</w:t>
      </w:r>
      <w:r w:rsidR="00D730F7" w:rsidRPr="00F072BB">
        <w:rPr>
          <w:rFonts w:ascii="Arial" w:hAnsi="Arial" w:cs="Arial"/>
          <w:lang w:val="pt-BR"/>
        </w:rPr>
        <w:t xml:space="preserve"> sobre como realizar esses ajustes de comparabilidade?</w:t>
      </w:r>
    </w:p>
    <w:p w14:paraId="55725854" w14:textId="1B57C0CE" w:rsidR="00A9491C" w:rsidRPr="00F072BB" w:rsidRDefault="006E701D" w:rsidP="00A9491C">
      <w:pPr>
        <w:pStyle w:val="Num-DocParagraph"/>
        <w:rPr>
          <w:rFonts w:ascii="Arial" w:hAnsi="Arial" w:cs="Arial"/>
          <w:lang w:val="pt-BR"/>
        </w:rPr>
      </w:pPr>
      <w:r w:rsidRPr="00F072BB">
        <w:rPr>
          <w:rFonts w:ascii="Arial" w:hAnsi="Arial" w:cs="Arial"/>
          <w:lang w:val="pt-BR"/>
        </w:rPr>
        <w:t>11</w:t>
      </w:r>
      <w:r w:rsidR="00C25BB5" w:rsidRPr="00F072BB">
        <w:rPr>
          <w:rFonts w:ascii="Arial" w:hAnsi="Arial" w:cs="Arial"/>
          <w:lang w:val="pt-BR"/>
        </w:rPr>
        <w:t>.</w:t>
      </w:r>
      <w:r w:rsidR="00D730F7" w:rsidRPr="00F072BB">
        <w:rPr>
          <w:rFonts w:ascii="Arial" w:hAnsi="Arial" w:cs="Arial"/>
          <w:lang w:val="pt-BR"/>
        </w:rPr>
        <w:t xml:space="preserve"> </w:t>
      </w:r>
      <w:r w:rsidR="007A30F2" w:rsidRPr="00F072BB">
        <w:rPr>
          <w:rFonts w:ascii="Arial" w:hAnsi="Arial" w:cs="Arial"/>
          <w:lang w:val="pt-BR"/>
        </w:rPr>
        <w:t>Quais países</w:t>
      </w:r>
      <w:r w:rsidR="00D730F7" w:rsidRPr="00F072BB">
        <w:rPr>
          <w:rFonts w:ascii="Arial" w:hAnsi="Arial" w:cs="Arial"/>
          <w:lang w:val="pt-BR"/>
        </w:rPr>
        <w:t>/regiões são fontes potenciais de dados comparáveis estrangeiros relevantes no seu caso específico?</w:t>
      </w:r>
    </w:p>
    <w:p w14:paraId="36E34D75" w14:textId="73EEBC66" w:rsidR="00D730F7" w:rsidRPr="00F072BB" w:rsidRDefault="006E701D" w:rsidP="00A9491C">
      <w:pPr>
        <w:pStyle w:val="Num-DocParagraph"/>
        <w:rPr>
          <w:rFonts w:ascii="Arial" w:hAnsi="Arial" w:cs="Arial"/>
          <w:lang w:val="pt-BR"/>
        </w:rPr>
      </w:pPr>
      <w:r w:rsidRPr="00F072BB">
        <w:rPr>
          <w:rFonts w:ascii="Arial" w:hAnsi="Arial" w:cs="Arial"/>
          <w:lang w:val="pt-BR"/>
        </w:rPr>
        <w:t>12</w:t>
      </w:r>
      <w:r w:rsidR="00C25BB5" w:rsidRPr="00F072BB">
        <w:rPr>
          <w:rFonts w:ascii="Arial" w:hAnsi="Arial" w:cs="Arial"/>
          <w:lang w:val="pt-BR"/>
        </w:rPr>
        <w:t xml:space="preserve">. </w:t>
      </w:r>
      <w:r w:rsidR="007A30F2" w:rsidRPr="00F072BB">
        <w:rPr>
          <w:rFonts w:ascii="Arial" w:hAnsi="Arial" w:cs="Arial"/>
          <w:lang w:val="pt-BR"/>
        </w:rPr>
        <w:t>Você c</w:t>
      </w:r>
      <w:r w:rsidR="00D730F7" w:rsidRPr="00F072BB">
        <w:rPr>
          <w:rFonts w:ascii="Arial" w:hAnsi="Arial" w:cs="Arial"/>
          <w:lang w:val="pt-BR"/>
        </w:rPr>
        <w:t xml:space="preserve">onsidera que tipos específicos de ajustes que refletem a diferença entre as jurisdições </w:t>
      </w:r>
      <w:r w:rsidR="007A30F2" w:rsidRPr="00F072BB">
        <w:rPr>
          <w:rFonts w:ascii="Arial" w:hAnsi="Arial" w:cs="Arial"/>
          <w:lang w:val="pt-BR"/>
        </w:rPr>
        <w:t>em questão</w:t>
      </w:r>
      <w:r w:rsidR="00D730F7" w:rsidRPr="00F072BB">
        <w:rPr>
          <w:rFonts w:ascii="Arial" w:hAnsi="Arial" w:cs="Arial"/>
          <w:lang w:val="pt-BR"/>
        </w:rPr>
        <w:t xml:space="preserve"> deve</w:t>
      </w:r>
      <w:r w:rsidR="007A30F2" w:rsidRPr="00F072BB">
        <w:rPr>
          <w:rFonts w:ascii="Arial" w:hAnsi="Arial" w:cs="Arial"/>
          <w:lang w:val="pt-BR"/>
        </w:rPr>
        <w:t xml:space="preserve">m ser considerados nesse caso, como </w:t>
      </w:r>
      <w:r w:rsidR="00D730F7" w:rsidRPr="00F072BB">
        <w:rPr>
          <w:rFonts w:ascii="Arial" w:hAnsi="Arial" w:cs="Arial"/>
          <w:lang w:val="pt-BR"/>
        </w:rPr>
        <w:t xml:space="preserve">por exemplo, ajustes específicos </w:t>
      </w:r>
      <w:r w:rsidR="007A30F2" w:rsidRPr="00F072BB">
        <w:rPr>
          <w:rFonts w:ascii="Arial" w:hAnsi="Arial" w:cs="Arial"/>
          <w:lang w:val="pt-BR"/>
        </w:rPr>
        <w:t>relacionados à</w:t>
      </w:r>
      <w:r w:rsidR="00D730F7" w:rsidRPr="00F072BB">
        <w:rPr>
          <w:rFonts w:ascii="Arial" w:hAnsi="Arial" w:cs="Arial"/>
          <w:lang w:val="pt-BR"/>
        </w:rPr>
        <w:t xml:space="preserve"> </w:t>
      </w:r>
      <w:r w:rsidR="007A30F2" w:rsidRPr="00F072BB">
        <w:rPr>
          <w:rFonts w:ascii="Arial" w:hAnsi="Arial" w:cs="Arial"/>
          <w:lang w:val="pt-BR"/>
        </w:rPr>
        <w:t xml:space="preserve">localização </w:t>
      </w:r>
      <w:r w:rsidR="00D730F7" w:rsidRPr="00F072BB">
        <w:rPr>
          <w:rFonts w:ascii="Arial" w:hAnsi="Arial" w:cs="Arial"/>
          <w:lang w:val="pt-BR"/>
        </w:rPr>
        <w:t>serão necessários para refletir possíveis diferenças geográficas no Brasil? Se sim, você po</w:t>
      </w:r>
      <w:r w:rsidR="007A30F2" w:rsidRPr="00F072BB">
        <w:rPr>
          <w:rFonts w:ascii="Arial" w:hAnsi="Arial" w:cs="Arial"/>
          <w:lang w:val="pt-BR"/>
        </w:rPr>
        <w:t>deria especificar quais ajustes?</w:t>
      </w:r>
    </w:p>
    <w:p w14:paraId="5B4BD549" w14:textId="72C94169" w:rsidR="0074422E" w:rsidRPr="00F072BB" w:rsidRDefault="00BD1160" w:rsidP="00B31A31">
      <w:pPr>
        <w:pStyle w:val="Num-DocParagraph"/>
        <w:rPr>
          <w:rFonts w:ascii="Arial" w:hAnsi="Arial" w:cs="Arial"/>
          <w:b/>
          <w:lang w:val="pt-BR"/>
        </w:rPr>
      </w:pPr>
      <w:r w:rsidRPr="00F072BB">
        <w:rPr>
          <w:rFonts w:ascii="Arial" w:hAnsi="Arial" w:cs="Arial"/>
          <w:b/>
          <w:lang w:val="pt-BR"/>
        </w:rPr>
        <w:t>Considerações para o uso de APAs</w:t>
      </w:r>
      <w:r w:rsidR="001A61E9" w:rsidRPr="00F072BB">
        <w:rPr>
          <w:rFonts w:ascii="Arial" w:hAnsi="Arial" w:cs="Arial"/>
          <w:b/>
          <w:lang w:val="pt-BR"/>
        </w:rPr>
        <w:t xml:space="preserve"> específicos para determinado setor</w:t>
      </w:r>
    </w:p>
    <w:p w14:paraId="480E9E76" w14:textId="264D4699" w:rsidR="0074422E" w:rsidRPr="00F072BB" w:rsidRDefault="0074422E" w:rsidP="00B31A31">
      <w:pPr>
        <w:pStyle w:val="Num-DocParagraph"/>
        <w:rPr>
          <w:rFonts w:ascii="Arial" w:hAnsi="Arial" w:cs="Arial"/>
          <w:lang w:val="pt-BR"/>
        </w:rPr>
      </w:pPr>
      <w:r w:rsidRPr="00F072BB">
        <w:rPr>
          <w:rFonts w:ascii="Arial" w:hAnsi="Arial" w:cs="Arial"/>
          <w:lang w:val="pt-BR"/>
        </w:rPr>
        <w:t>1</w:t>
      </w:r>
      <w:r w:rsidR="006E701D" w:rsidRPr="00F072BB">
        <w:rPr>
          <w:rFonts w:ascii="Arial" w:hAnsi="Arial" w:cs="Arial"/>
          <w:lang w:val="pt-BR"/>
        </w:rPr>
        <w:t>3</w:t>
      </w:r>
      <w:r w:rsidRPr="00F072BB">
        <w:rPr>
          <w:rFonts w:ascii="Arial" w:hAnsi="Arial" w:cs="Arial"/>
          <w:lang w:val="pt-BR"/>
        </w:rPr>
        <w:t xml:space="preserve">. </w:t>
      </w:r>
      <w:r w:rsidR="00566758" w:rsidRPr="00F072BB">
        <w:rPr>
          <w:rFonts w:ascii="Arial" w:hAnsi="Arial" w:cs="Arial"/>
          <w:lang w:val="pt-BR"/>
        </w:rPr>
        <w:t>V</w:t>
      </w:r>
      <w:r w:rsidR="00BD1160" w:rsidRPr="00F072BB">
        <w:rPr>
          <w:rFonts w:ascii="Arial" w:hAnsi="Arial" w:cs="Arial"/>
          <w:lang w:val="pt-BR"/>
        </w:rPr>
        <w:t>ocê v</w:t>
      </w:r>
      <w:r w:rsidR="007A30F2" w:rsidRPr="00F072BB">
        <w:rPr>
          <w:rFonts w:ascii="Arial" w:hAnsi="Arial" w:cs="Arial"/>
          <w:lang w:val="pt-BR"/>
        </w:rPr>
        <w:t xml:space="preserve">ê necessidade de APAs </w:t>
      </w:r>
      <w:r w:rsidR="00EF5394" w:rsidRPr="00F072BB">
        <w:rPr>
          <w:rFonts w:ascii="Arial" w:hAnsi="Arial" w:cs="Arial"/>
          <w:lang w:val="pt-BR"/>
        </w:rPr>
        <w:t xml:space="preserve">específicos </w:t>
      </w:r>
      <w:r w:rsidR="007A30F2" w:rsidRPr="00F072BB">
        <w:rPr>
          <w:rFonts w:ascii="Arial" w:hAnsi="Arial" w:cs="Arial"/>
          <w:lang w:val="pt-BR"/>
        </w:rPr>
        <w:t>para determinado</w:t>
      </w:r>
      <w:r w:rsidR="00BD1160" w:rsidRPr="00F072BB">
        <w:rPr>
          <w:rFonts w:ascii="Arial" w:hAnsi="Arial" w:cs="Arial"/>
          <w:lang w:val="pt-BR"/>
        </w:rPr>
        <w:t xml:space="preserve"> setor?</w:t>
      </w:r>
    </w:p>
    <w:p w14:paraId="6D121A47" w14:textId="7D9A242F" w:rsidR="0074422E" w:rsidRPr="00F072BB" w:rsidRDefault="0074422E" w:rsidP="00B31A31">
      <w:pPr>
        <w:pStyle w:val="Num-DocParagraph"/>
        <w:rPr>
          <w:rFonts w:ascii="Arial" w:hAnsi="Arial" w:cs="Arial"/>
          <w:lang w:val="pt-BR"/>
        </w:rPr>
      </w:pPr>
      <w:r w:rsidRPr="00F072BB">
        <w:rPr>
          <w:rFonts w:ascii="Arial" w:hAnsi="Arial" w:cs="Arial"/>
          <w:lang w:val="pt-BR"/>
        </w:rPr>
        <w:t>1</w:t>
      </w:r>
      <w:r w:rsidR="006E701D" w:rsidRPr="00F072BB">
        <w:rPr>
          <w:rFonts w:ascii="Arial" w:hAnsi="Arial" w:cs="Arial"/>
          <w:lang w:val="pt-BR"/>
        </w:rPr>
        <w:t>4</w:t>
      </w:r>
      <w:r w:rsidRPr="00F072BB">
        <w:rPr>
          <w:rFonts w:ascii="Arial" w:hAnsi="Arial" w:cs="Arial"/>
          <w:lang w:val="pt-BR"/>
        </w:rPr>
        <w:t xml:space="preserve">. </w:t>
      </w:r>
      <w:r w:rsidR="00BD1160" w:rsidRPr="00F072BB">
        <w:rPr>
          <w:rFonts w:ascii="Arial" w:hAnsi="Arial" w:cs="Arial"/>
          <w:lang w:val="pt-BR"/>
        </w:rPr>
        <w:t xml:space="preserve">Caso você veja a necessidade de uma estrutura de APA </w:t>
      </w:r>
      <w:r w:rsidR="007A30F2" w:rsidRPr="00F072BB">
        <w:rPr>
          <w:rFonts w:ascii="Arial" w:hAnsi="Arial" w:cs="Arial"/>
          <w:lang w:val="pt-BR"/>
        </w:rPr>
        <w:t>para determinado setor,</w:t>
      </w:r>
      <w:r w:rsidR="00BD1160" w:rsidRPr="00F072BB">
        <w:rPr>
          <w:rFonts w:ascii="Arial" w:hAnsi="Arial" w:cs="Arial"/>
          <w:lang w:val="pt-BR"/>
        </w:rPr>
        <w:t xml:space="preserve"> poderia </w:t>
      </w:r>
      <w:r w:rsidR="007A30F2" w:rsidRPr="00F072BB">
        <w:rPr>
          <w:rFonts w:ascii="Arial" w:hAnsi="Arial" w:cs="Arial"/>
          <w:lang w:val="pt-BR"/>
        </w:rPr>
        <w:t xml:space="preserve">nos </w:t>
      </w:r>
      <w:r w:rsidR="00BD1160" w:rsidRPr="00F072BB">
        <w:rPr>
          <w:rFonts w:ascii="Arial" w:hAnsi="Arial" w:cs="Arial"/>
          <w:lang w:val="pt-BR"/>
        </w:rPr>
        <w:t xml:space="preserve">fornecer os detalhes relevantes que seriam úteis para o desenvolvimento </w:t>
      </w:r>
      <w:r w:rsidR="00402FA5" w:rsidRPr="00F072BB">
        <w:rPr>
          <w:rFonts w:ascii="Arial" w:hAnsi="Arial" w:cs="Arial"/>
          <w:lang w:val="pt-BR"/>
        </w:rPr>
        <w:t>da mesma</w:t>
      </w:r>
      <w:r w:rsidR="001A61E9" w:rsidRPr="00F072BB">
        <w:rPr>
          <w:rFonts w:ascii="Arial" w:hAnsi="Arial" w:cs="Arial"/>
          <w:lang w:val="pt-BR"/>
        </w:rPr>
        <w:t xml:space="preserve"> (por exemplo, setor industrial, natureza da transação, detalhes sobre fatores de comparabilidade, seleção e aplicação do método mais apropriado etc.)</w:t>
      </w:r>
      <w:r w:rsidR="00BD1160" w:rsidRPr="00F072BB">
        <w:rPr>
          <w:rFonts w:ascii="Arial" w:hAnsi="Arial" w:cs="Arial"/>
          <w:lang w:val="pt-BR"/>
        </w:rPr>
        <w:t>?</w:t>
      </w:r>
    </w:p>
    <w:p w14:paraId="478352D3" w14:textId="1B1F1FCA" w:rsidR="0074422E" w:rsidRPr="00F072BB" w:rsidRDefault="0074422E" w:rsidP="00B31A31">
      <w:pPr>
        <w:pStyle w:val="Num-DocParagraph"/>
        <w:rPr>
          <w:rFonts w:ascii="Arial" w:hAnsi="Arial" w:cs="Arial"/>
          <w:lang w:val="pt-BR"/>
        </w:rPr>
      </w:pPr>
      <w:r w:rsidRPr="00F072BB">
        <w:rPr>
          <w:rFonts w:ascii="Arial" w:hAnsi="Arial" w:cs="Arial"/>
          <w:lang w:val="pt-BR"/>
        </w:rPr>
        <w:t>1</w:t>
      </w:r>
      <w:r w:rsidR="006E701D" w:rsidRPr="00F072BB">
        <w:rPr>
          <w:rFonts w:ascii="Arial" w:hAnsi="Arial" w:cs="Arial"/>
          <w:lang w:val="pt-BR"/>
        </w:rPr>
        <w:t>5</w:t>
      </w:r>
      <w:r w:rsidRPr="00F072BB">
        <w:rPr>
          <w:rFonts w:ascii="Arial" w:hAnsi="Arial" w:cs="Arial"/>
          <w:lang w:val="pt-BR"/>
        </w:rPr>
        <w:t xml:space="preserve">. </w:t>
      </w:r>
      <w:r w:rsidR="00BD1160" w:rsidRPr="00F072BB">
        <w:rPr>
          <w:rFonts w:ascii="Arial" w:hAnsi="Arial" w:cs="Arial"/>
          <w:lang w:val="pt-BR"/>
        </w:rPr>
        <w:t>Quais seriam as semelhanças e diferenças em suas transações específicas em comparação com outras empresas que operam no mesmo setor?</w:t>
      </w:r>
    </w:p>
    <w:p w14:paraId="0B646522" w14:textId="1D6B1FA7" w:rsidR="008C0DE4" w:rsidRPr="00F072BB" w:rsidRDefault="0074422E" w:rsidP="00B86339">
      <w:pPr>
        <w:pStyle w:val="Num-DocParagraph"/>
        <w:rPr>
          <w:rFonts w:ascii="Arial" w:hAnsi="Arial" w:cs="Arial"/>
          <w:lang w:val="pt-BR"/>
        </w:rPr>
      </w:pPr>
      <w:r w:rsidRPr="00F072BB">
        <w:rPr>
          <w:rFonts w:ascii="Arial" w:hAnsi="Arial" w:cs="Arial"/>
          <w:lang w:val="pt-BR"/>
        </w:rPr>
        <w:lastRenderedPageBreak/>
        <w:t>1</w:t>
      </w:r>
      <w:r w:rsidR="006E701D" w:rsidRPr="00F072BB">
        <w:rPr>
          <w:rFonts w:ascii="Arial" w:hAnsi="Arial" w:cs="Arial"/>
          <w:lang w:val="pt-BR"/>
        </w:rPr>
        <w:t>6</w:t>
      </w:r>
      <w:r w:rsidRPr="00F072BB">
        <w:rPr>
          <w:rFonts w:ascii="Arial" w:hAnsi="Arial" w:cs="Arial"/>
          <w:lang w:val="pt-BR"/>
        </w:rPr>
        <w:t xml:space="preserve">. </w:t>
      </w:r>
      <w:r w:rsidR="00566758" w:rsidRPr="00F072BB">
        <w:rPr>
          <w:rFonts w:ascii="Arial" w:hAnsi="Arial" w:cs="Arial"/>
          <w:lang w:val="pt-BR"/>
        </w:rPr>
        <w:t>Q</w:t>
      </w:r>
      <w:r w:rsidR="00BD1160" w:rsidRPr="00F072BB">
        <w:rPr>
          <w:rFonts w:ascii="Arial" w:hAnsi="Arial" w:cs="Arial"/>
          <w:lang w:val="pt-BR"/>
        </w:rPr>
        <w:t>uais devem ser os principais parâmetros da estrutura da APA que você propõe e quais devem ser os elementos que devem permanecer flexíveis para serem determinados em cada caso específico?</w:t>
      </w:r>
    </w:p>
    <w:p w14:paraId="04D357F4" w14:textId="5F22E26B" w:rsidR="00642F26" w:rsidRPr="00F072BB" w:rsidRDefault="00BD1160" w:rsidP="00B86339">
      <w:pPr>
        <w:pStyle w:val="Num-DocParagraph"/>
        <w:rPr>
          <w:rFonts w:ascii="Arial" w:hAnsi="Arial" w:cs="Arial"/>
          <w:b/>
          <w:lang w:val="pt-BR"/>
        </w:rPr>
      </w:pPr>
      <w:r w:rsidRPr="00F072BB">
        <w:rPr>
          <w:rFonts w:ascii="Arial" w:hAnsi="Arial" w:cs="Arial"/>
          <w:b/>
          <w:lang w:val="pt-BR"/>
        </w:rPr>
        <w:t>Outras medidas</w:t>
      </w:r>
    </w:p>
    <w:p w14:paraId="31B95C30" w14:textId="36910500" w:rsidR="00D735A9" w:rsidRPr="00F072BB" w:rsidRDefault="00642F26" w:rsidP="00D735A9">
      <w:pPr>
        <w:pStyle w:val="Num-DocParagraph"/>
        <w:rPr>
          <w:rFonts w:ascii="Arial" w:hAnsi="Arial" w:cs="Arial"/>
          <w:lang w:val="pt-BR"/>
        </w:rPr>
      </w:pPr>
      <w:r w:rsidRPr="00F072BB">
        <w:rPr>
          <w:rFonts w:ascii="Arial" w:hAnsi="Arial" w:cs="Arial"/>
          <w:lang w:val="pt-BR"/>
        </w:rPr>
        <w:t xml:space="preserve">17. </w:t>
      </w:r>
      <w:r w:rsidR="00BD1160" w:rsidRPr="00F072BB">
        <w:rPr>
          <w:rFonts w:ascii="Arial" w:hAnsi="Arial" w:cs="Arial"/>
          <w:lang w:val="pt-BR"/>
        </w:rPr>
        <w:t xml:space="preserve">Você vê necessidade de outras medidas de simplificação para aumentar a segurança </w:t>
      </w:r>
      <w:r w:rsidR="007A30F2" w:rsidRPr="00F072BB">
        <w:rPr>
          <w:rFonts w:ascii="Arial" w:hAnsi="Arial" w:cs="Arial"/>
          <w:lang w:val="pt-BR"/>
        </w:rPr>
        <w:t xml:space="preserve">jurídica em matéria </w:t>
      </w:r>
      <w:r w:rsidR="00BD1160" w:rsidRPr="00F072BB">
        <w:rPr>
          <w:rFonts w:ascii="Arial" w:hAnsi="Arial" w:cs="Arial"/>
          <w:lang w:val="pt-BR"/>
        </w:rPr>
        <w:t>tributária? Se sim, você po</w:t>
      </w:r>
      <w:r w:rsidR="00D735A9" w:rsidRPr="00F072BB">
        <w:rPr>
          <w:rFonts w:ascii="Arial" w:hAnsi="Arial" w:cs="Arial"/>
          <w:lang w:val="pt-BR"/>
        </w:rPr>
        <w:t>deria especificar quais medidas?</w:t>
      </w:r>
    </w:p>
    <w:p w14:paraId="78122900" w14:textId="77777777" w:rsidR="00D735A9" w:rsidRPr="00F072BB" w:rsidRDefault="00D735A9" w:rsidP="00D735A9">
      <w:pPr>
        <w:pStyle w:val="Num-DocParagraph"/>
        <w:rPr>
          <w:rFonts w:ascii="Arial" w:hAnsi="Arial" w:cs="Arial"/>
          <w:lang w:val="pt-BR"/>
        </w:rPr>
        <w:sectPr w:rsidR="00D735A9" w:rsidRPr="00F072BB">
          <w:footerReference w:type="default" r:id="rId22"/>
          <w:pgSz w:w="11906" w:h="16838"/>
          <w:pgMar w:top="1440" w:right="1440" w:bottom="1440" w:left="1440" w:header="708" w:footer="708" w:gutter="0"/>
          <w:cols w:space="708"/>
          <w:docGrid w:linePitch="360"/>
        </w:sectPr>
      </w:pPr>
    </w:p>
    <w:p w14:paraId="5BE74B89" w14:textId="7B228DD7" w:rsidR="00F45303" w:rsidRPr="00F072BB" w:rsidRDefault="00F45303" w:rsidP="00B57F2F">
      <w:pPr>
        <w:pStyle w:val="Num-DocParagraph"/>
        <w:jc w:val="center"/>
        <w:rPr>
          <w:rFonts w:ascii="Arial" w:hAnsi="Arial" w:cs="Arial"/>
          <w:b/>
          <w:sz w:val="24"/>
          <w:lang w:val="pt-BR"/>
        </w:rPr>
      </w:pPr>
      <w:r w:rsidRPr="00F072BB">
        <w:rPr>
          <w:rFonts w:ascii="Arial" w:hAnsi="Arial" w:cs="Arial"/>
          <w:b/>
          <w:sz w:val="24"/>
          <w:lang w:val="pt-BR"/>
        </w:rPr>
        <w:lastRenderedPageBreak/>
        <w:t>[TRADUÇÃO NÃO-OFICIAL]</w:t>
      </w:r>
    </w:p>
    <w:p w14:paraId="1CD35D57" w14:textId="45B6E100" w:rsidR="00345744" w:rsidRPr="00F072BB" w:rsidRDefault="00DD09AD" w:rsidP="00B57F2F">
      <w:pPr>
        <w:pStyle w:val="Num-DocParagraph"/>
        <w:jc w:val="center"/>
        <w:rPr>
          <w:rFonts w:ascii="Arial" w:hAnsi="Arial" w:cs="Arial"/>
          <w:b/>
          <w:sz w:val="24"/>
          <w:lang w:val="pt-BR"/>
        </w:rPr>
      </w:pPr>
      <w:r w:rsidRPr="00F072BB">
        <w:rPr>
          <w:rFonts w:ascii="Arial" w:hAnsi="Arial" w:cs="Arial"/>
          <w:b/>
          <w:sz w:val="24"/>
          <w:lang w:val="pt-BR"/>
        </w:rPr>
        <w:t>ANEXO</w:t>
      </w:r>
      <w:r w:rsidR="00357443" w:rsidRPr="00F072BB">
        <w:rPr>
          <w:rFonts w:ascii="Arial" w:hAnsi="Arial" w:cs="Arial"/>
          <w:b/>
          <w:sz w:val="24"/>
          <w:lang w:val="pt-BR"/>
        </w:rPr>
        <w:t xml:space="preserve">. </w:t>
      </w:r>
      <w:r w:rsidR="007A30F2" w:rsidRPr="00F072BB">
        <w:rPr>
          <w:rFonts w:ascii="Arial" w:hAnsi="Arial" w:cs="Arial"/>
          <w:b/>
          <w:sz w:val="24"/>
          <w:lang w:val="pt-BR"/>
        </w:rPr>
        <w:t xml:space="preserve">ORIENTAÇÕES DA OCDE SOBRE </w:t>
      </w:r>
      <w:r w:rsidR="00357443" w:rsidRPr="00F072BB">
        <w:rPr>
          <w:rFonts w:ascii="Arial" w:hAnsi="Arial" w:cs="Arial"/>
          <w:b/>
          <w:i/>
          <w:sz w:val="24"/>
          <w:lang w:val="pt-BR"/>
        </w:rPr>
        <w:t>SAFE HARBOURS</w:t>
      </w:r>
      <w:r w:rsidR="00357443" w:rsidRPr="00F072BB">
        <w:rPr>
          <w:rFonts w:ascii="Arial" w:hAnsi="Arial" w:cs="Arial"/>
          <w:b/>
          <w:sz w:val="24"/>
          <w:lang w:val="pt-BR"/>
        </w:rPr>
        <w:t xml:space="preserve"> </w:t>
      </w:r>
      <w:r w:rsidRPr="00F072BB">
        <w:rPr>
          <w:rFonts w:ascii="Arial" w:hAnsi="Arial" w:cs="Arial"/>
          <w:b/>
          <w:sz w:val="24"/>
          <w:lang w:val="pt-BR"/>
        </w:rPr>
        <w:t>NO</w:t>
      </w:r>
      <w:r w:rsidR="00357443" w:rsidRPr="00F072BB">
        <w:rPr>
          <w:rFonts w:ascii="Arial" w:hAnsi="Arial" w:cs="Arial"/>
          <w:b/>
          <w:sz w:val="24"/>
          <w:lang w:val="pt-BR"/>
        </w:rPr>
        <w:t xml:space="preserve"> </w:t>
      </w:r>
      <w:r w:rsidRPr="00F072BB">
        <w:rPr>
          <w:rFonts w:ascii="Arial" w:hAnsi="Arial" w:cs="Arial"/>
          <w:b/>
          <w:sz w:val="24"/>
          <w:lang w:val="pt-BR"/>
        </w:rPr>
        <w:t>CAPÍTULO</w:t>
      </w:r>
      <w:r w:rsidR="00357443" w:rsidRPr="00F072BB">
        <w:rPr>
          <w:rFonts w:ascii="Arial" w:hAnsi="Arial" w:cs="Arial"/>
          <w:b/>
          <w:sz w:val="24"/>
          <w:lang w:val="pt-BR"/>
        </w:rPr>
        <w:t xml:space="preserve"> IV </w:t>
      </w:r>
      <w:r w:rsidRPr="00F072BB">
        <w:rPr>
          <w:rFonts w:ascii="Arial" w:hAnsi="Arial" w:cs="Arial"/>
          <w:b/>
          <w:sz w:val="24"/>
          <w:lang w:val="pt-BR"/>
        </w:rPr>
        <w:t>DAS DIRETRIZED DE PREÇOS DE TRANSFERÊNCIA DA OCDE</w:t>
      </w:r>
    </w:p>
    <w:p w14:paraId="317EDF24" w14:textId="7991ED63" w:rsidR="00A569A3" w:rsidRPr="00F072BB" w:rsidRDefault="00A569A3" w:rsidP="00A569A3">
      <w:pPr>
        <w:pStyle w:val="Num-DocParagraph"/>
        <w:numPr>
          <w:ilvl w:val="0"/>
          <w:numId w:val="9"/>
        </w:numPr>
        <w:rPr>
          <w:b/>
        </w:rPr>
      </w:pPr>
      <w:r w:rsidRPr="00F072BB">
        <w:rPr>
          <w:b/>
        </w:rPr>
        <w:t>Safe harbours</w:t>
      </w:r>
    </w:p>
    <w:p w14:paraId="7AE4F766" w14:textId="3313B84C" w:rsidR="00A569A3" w:rsidRPr="00F072BB" w:rsidRDefault="00DD09AD" w:rsidP="00A569A3">
      <w:pPr>
        <w:pStyle w:val="Num-DocParagraph"/>
        <w:numPr>
          <w:ilvl w:val="0"/>
          <w:numId w:val="11"/>
        </w:numPr>
        <w:rPr>
          <w:b/>
          <w:lang w:val="pt-BR"/>
        </w:rPr>
      </w:pPr>
      <w:r w:rsidRPr="00F072BB">
        <w:rPr>
          <w:b/>
          <w:lang w:val="pt-BR"/>
        </w:rPr>
        <w:t>Introdução</w:t>
      </w:r>
    </w:p>
    <w:p w14:paraId="0D64D9BC" w14:textId="55063D00" w:rsidR="00DD09AD" w:rsidRPr="00F072BB" w:rsidRDefault="00DD09AD" w:rsidP="00DD09AD">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 aplicação do princípio </w:t>
      </w:r>
      <w:r w:rsidRPr="00F072BB">
        <w:rPr>
          <w:i/>
          <w:lang w:val="pt-BR"/>
        </w:rPr>
        <w:t>arm’s length</w:t>
      </w:r>
      <w:r w:rsidRPr="00F072BB">
        <w:rPr>
          <w:lang w:val="pt-BR"/>
        </w:rPr>
        <w:t xml:space="preserve"> pode ser um processo que despende muitos recursos. Pode impor uma carga administrativa pesada aos contribuintes e às administrações tributárias que podem ser exacerbadas por regras complexas e por exigências de conformidade </w:t>
      </w:r>
      <w:r w:rsidR="00D735A9" w:rsidRPr="00F072BB">
        <w:rPr>
          <w:lang w:val="pt-BR"/>
        </w:rPr>
        <w:t>decorrentes dessas regras</w:t>
      </w:r>
      <w:r w:rsidRPr="00F072BB">
        <w:rPr>
          <w:lang w:val="pt-BR"/>
        </w:rPr>
        <w:t xml:space="preserve">. Esses fatos levaram os países membros da OCDE a considerar se as regras de </w:t>
      </w:r>
      <w:r w:rsidR="00D735A9" w:rsidRPr="00F072BB">
        <w:rPr>
          <w:i/>
          <w:lang w:val="pt-BR"/>
        </w:rPr>
        <w:t>safe harbour</w:t>
      </w:r>
      <w:r w:rsidRPr="00F072BB">
        <w:rPr>
          <w:lang w:val="pt-BR"/>
        </w:rPr>
        <w:t xml:space="preserve"> seriam apropriadas na área de preços de transferência</w:t>
      </w:r>
      <w:r w:rsidR="00D735A9" w:rsidRPr="00F072BB">
        <w:rPr>
          <w:lang w:val="pt-BR"/>
        </w:rPr>
        <w:t xml:space="preserve"> e quando tais regras seriam apropriadas</w:t>
      </w:r>
    </w:p>
    <w:p w14:paraId="63315462" w14:textId="70FD5083" w:rsidR="00D735A9" w:rsidRPr="00F072BB" w:rsidRDefault="00D735A9" w:rsidP="00AC7295">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Quando essas Diretrizes foram adotadas em 1995, a opinião expressa em relação às regras de </w:t>
      </w:r>
      <w:r w:rsidRPr="00F072BB">
        <w:rPr>
          <w:i/>
          <w:lang w:val="pt-BR"/>
        </w:rPr>
        <w:t>safe harbour</w:t>
      </w:r>
      <w:r w:rsidRPr="00F072BB">
        <w:rPr>
          <w:lang w:val="pt-BR"/>
        </w:rPr>
        <w:t xml:space="preserve"> era </w:t>
      </w:r>
      <w:r w:rsidR="00723FC8" w:rsidRPr="00F072BB">
        <w:rPr>
          <w:lang w:val="pt-BR"/>
        </w:rPr>
        <w:t>em geral</w:t>
      </w:r>
      <w:r w:rsidRPr="00F072BB">
        <w:rPr>
          <w:lang w:val="pt-BR"/>
        </w:rPr>
        <w:t xml:space="preserve"> negativa. Sugeriu-se que, embora os </w:t>
      </w:r>
      <w:r w:rsidRPr="00F072BB">
        <w:rPr>
          <w:i/>
          <w:lang w:val="pt-BR"/>
        </w:rPr>
        <w:t>safe harbous</w:t>
      </w:r>
      <w:r w:rsidRPr="00F072BB">
        <w:rPr>
          <w:lang w:val="pt-BR"/>
        </w:rPr>
        <w:t xml:space="preserve"> possam simplificar a conformidade e a administração dos preços de transferência, as regras de </w:t>
      </w:r>
      <w:r w:rsidRPr="00F072BB">
        <w:rPr>
          <w:i/>
          <w:lang w:val="pt-BR"/>
        </w:rPr>
        <w:t>safe harbours</w:t>
      </w:r>
      <w:r w:rsidRPr="00F072BB">
        <w:rPr>
          <w:lang w:val="pt-BR"/>
        </w:rPr>
        <w:t xml:space="preserve"> </w:t>
      </w:r>
      <w:r w:rsidR="007C19F3" w:rsidRPr="00F072BB">
        <w:rPr>
          <w:lang w:val="pt-BR"/>
        </w:rPr>
        <w:t>poderiam</w:t>
      </w:r>
      <w:r w:rsidRPr="00F072BB">
        <w:rPr>
          <w:lang w:val="pt-BR"/>
        </w:rPr>
        <w:t xml:space="preserve"> levantar problemas fundamentais que podem potencialmente ter efeitos perversos nas decisões de preços de empresas envolvidas em transações controladas. Sugeriu-se que os </w:t>
      </w:r>
      <w:r w:rsidR="007C19F3" w:rsidRPr="00F072BB">
        <w:rPr>
          <w:i/>
          <w:lang w:val="pt-BR"/>
        </w:rPr>
        <w:t>safe harbours</w:t>
      </w:r>
      <w:r w:rsidRPr="00F072BB">
        <w:rPr>
          <w:lang w:val="pt-BR"/>
        </w:rPr>
        <w:t xml:space="preserve"> unilaterais podem ter um impacto negativo nas receitas tributárias do país que implementa o </w:t>
      </w:r>
      <w:r w:rsidR="00E734E0" w:rsidRPr="00F072BB">
        <w:rPr>
          <w:i/>
          <w:lang w:val="pt-BR"/>
        </w:rPr>
        <w:t>safe harbour</w:t>
      </w:r>
      <w:r w:rsidRPr="00F072BB">
        <w:rPr>
          <w:lang w:val="pt-BR"/>
        </w:rPr>
        <w:t xml:space="preserve">, bem como nas receitas tributárias de países cujas empresas associadas realizam transações controladas com contribuintes que elegem um </w:t>
      </w:r>
      <w:r w:rsidR="00E734E0" w:rsidRPr="00F072BB">
        <w:rPr>
          <w:lang w:val="pt-BR"/>
        </w:rPr>
        <w:t>safe harbour</w:t>
      </w:r>
      <w:r w:rsidRPr="00F072BB">
        <w:rPr>
          <w:lang w:val="pt-BR"/>
        </w:rPr>
        <w:t xml:space="preserve">. Foi sugerido ainda que </w:t>
      </w:r>
      <w:r w:rsidR="00E734E0" w:rsidRPr="00F072BB">
        <w:rPr>
          <w:lang w:val="pt-BR"/>
        </w:rPr>
        <w:t>safe harbours</w:t>
      </w:r>
      <w:r w:rsidRPr="00F072BB">
        <w:rPr>
          <w:lang w:val="pt-BR"/>
        </w:rPr>
        <w:t xml:space="preserve"> podem não ser compatíveis com o princípio </w:t>
      </w:r>
      <w:r w:rsidR="00E734E0" w:rsidRPr="00F072BB">
        <w:rPr>
          <w:i/>
          <w:lang w:val="pt-BR"/>
        </w:rPr>
        <w:t>arm’s length</w:t>
      </w:r>
      <w:r w:rsidRPr="00F072BB">
        <w:rPr>
          <w:lang w:val="pt-BR"/>
        </w:rPr>
        <w:t xml:space="preserve">. Portanto, concluiu-se que os </w:t>
      </w:r>
      <w:r w:rsidR="00647A8C" w:rsidRPr="00F072BB">
        <w:rPr>
          <w:i/>
          <w:lang w:val="pt-BR"/>
        </w:rPr>
        <w:t>safe harbours</w:t>
      </w:r>
      <w:r w:rsidRPr="00F072BB">
        <w:rPr>
          <w:lang w:val="pt-BR"/>
        </w:rPr>
        <w:t xml:space="preserve"> de preços de transferência não são</w:t>
      </w:r>
      <w:r w:rsidR="00647A8C" w:rsidRPr="00F072BB">
        <w:rPr>
          <w:lang w:val="pt-BR"/>
        </w:rPr>
        <w:t xml:space="preserve"> </w:t>
      </w:r>
      <w:r w:rsidR="00723FC8" w:rsidRPr="00F072BB">
        <w:rPr>
          <w:lang w:val="pt-BR"/>
        </w:rPr>
        <w:t>em geral</w:t>
      </w:r>
      <w:r w:rsidR="00647A8C" w:rsidRPr="00F072BB">
        <w:rPr>
          <w:lang w:val="pt-BR"/>
        </w:rPr>
        <w:t xml:space="preserve"> aconselháveis</w:t>
      </w:r>
      <w:r w:rsidR="00AC7295" w:rsidRPr="00F072BB">
        <w:rPr>
          <w:lang w:val="pt-BR"/>
        </w:rPr>
        <w:t xml:space="preserve"> e, consequ</w:t>
      </w:r>
      <w:r w:rsidRPr="00F072BB">
        <w:rPr>
          <w:lang w:val="pt-BR"/>
        </w:rPr>
        <w:t xml:space="preserve">entemente, o uso de </w:t>
      </w:r>
      <w:r w:rsidR="00AC7295" w:rsidRPr="00F072BB">
        <w:rPr>
          <w:i/>
          <w:lang w:val="pt-BR"/>
        </w:rPr>
        <w:t>safe harbours</w:t>
      </w:r>
      <w:r w:rsidRPr="00F072BB">
        <w:rPr>
          <w:lang w:val="pt-BR"/>
        </w:rPr>
        <w:t xml:space="preserve"> não foi recomendado</w:t>
      </w:r>
    </w:p>
    <w:p w14:paraId="55798158" w14:textId="37F1E94A" w:rsidR="00AC7295" w:rsidRPr="00F072BB" w:rsidRDefault="00AC7295" w:rsidP="00AC7295">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Apesar dessas conclusões geralmente negativas, vários países adotaram regras de </w:t>
      </w:r>
      <w:r w:rsidR="0093376E" w:rsidRPr="00F072BB">
        <w:rPr>
          <w:i/>
          <w:lang w:val="pt-BR"/>
        </w:rPr>
        <w:t>safe harbour</w:t>
      </w:r>
      <w:r w:rsidRPr="00F072BB">
        <w:rPr>
          <w:lang w:val="pt-BR"/>
        </w:rPr>
        <w:t xml:space="preserve">. Essas regras têm sido </w:t>
      </w:r>
      <w:r w:rsidR="00723FC8" w:rsidRPr="00F072BB">
        <w:rPr>
          <w:lang w:val="pt-BR"/>
        </w:rPr>
        <w:t xml:space="preserve">geralmente </w:t>
      </w:r>
      <w:r w:rsidRPr="00F072BB">
        <w:rPr>
          <w:lang w:val="pt-BR"/>
        </w:rPr>
        <w:t xml:space="preserve">aplicadas a contribuintes menores e/ou transações menos complexas. Eles geralmente são avaliados favoravelmente pelas administrações </w:t>
      </w:r>
      <w:r w:rsidR="0093376E" w:rsidRPr="00F072BB">
        <w:rPr>
          <w:lang w:val="pt-BR"/>
        </w:rPr>
        <w:t>tributárias</w:t>
      </w:r>
      <w:r w:rsidRPr="00F072BB">
        <w:rPr>
          <w:lang w:val="pt-BR"/>
        </w:rPr>
        <w:t xml:space="preserve"> e pelos contribuintes, que indicam que os benefícios </w:t>
      </w:r>
      <w:r w:rsidR="00723FC8" w:rsidRPr="00F072BB">
        <w:rPr>
          <w:lang w:val="pt-BR"/>
        </w:rPr>
        <w:t>apresentados pelos</w:t>
      </w:r>
      <w:r w:rsidRPr="00F072BB">
        <w:rPr>
          <w:lang w:val="pt-BR"/>
        </w:rPr>
        <w:t xml:space="preserve"> </w:t>
      </w:r>
      <w:r w:rsidR="00723FC8" w:rsidRPr="00F072BB">
        <w:rPr>
          <w:i/>
          <w:lang w:val="pt-BR"/>
        </w:rPr>
        <w:t>safe harbours</w:t>
      </w:r>
      <w:r w:rsidRPr="00F072BB">
        <w:rPr>
          <w:lang w:val="pt-BR"/>
        </w:rPr>
        <w:t xml:space="preserve"> superam as preocupações relacionadas quando essas regras são cuidadosamente direcionadas e prescritas e quando são feitos esforços para evitar os problemas que possam surgir de regimes de </w:t>
      </w:r>
      <w:r w:rsidR="00723FC8" w:rsidRPr="00F072BB">
        <w:rPr>
          <w:i/>
          <w:lang w:val="pt-BR"/>
        </w:rPr>
        <w:t>safe harbours</w:t>
      </w:r>
      <w:r w:rsidRPr="00F072BB">
        <w:rPr>
          <w:lang w:val="pt-BR"/>
        </w:rPr>
        <w:t xml:space="preserve"> </w:t>
      </w:r>
      <w:r w:rsidR="00723FC8" w:rsidRPr="00F072BB">
        <w:rPr>
          <w:lang w:val="pt-BR"/>
        </w:rPr>
        <w:t>inadequadamente formulados</w:t>
      </w:r>
      <w:r w:rsidRPr="00F072BB">
        <w:rPr>
          <w:lang w:val="pt-BR"/>
        </w:rPr>
        <w:t>.</w:t>
      </w:r>
    </w:p>
    <w:p w14:paraId="496FEA08" w14:textId="172AD2CC" w:rsidR="00723FC8" w:rsidRPr="00F072BB" w:rsidRDefault="00723FC8" w:rsidP="00723FC8">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 adequação dos </w:t>
      </w:r>
      <w:r w:rsidR="00805BA0" w:rsidRPr="00F072BB">
        <w:rPr>
          <w:i/>
          <w:lang w:val="pt-BR"/>
        </w:rPr>
        <w:t>safe harbours</w:t>
      </w:r>
      <w:r w:rsidRPr="00F072BB">
        <w:rPr>
          <w:lang w:val="pt-BR"/>
        </w:rPr>
        <w:t xml:space="preserve"> pode ser mais aparente quando eles são</w:t>
      </w:r>
      <w:r w:rsidR="00805BA0" w:rsidRPr="00F072BB">
        <w:rPr>
          <w:lang w:val="pt-BR"/>
        </w:rPr>
        <w:t xml:space="preserve"> direcionados a contribuintes e/ou transações que </w:t>
      </w:r>
      <w:r w:rsidR="002B6626" w:rsidRPr="00F072BB">
        <w:rPr>
          <w:lang w:val="pt-BR"/>
        </w:rPr>
        <w:t>envolvam</w:t>
      </w:r>
      <w:r w:rsidRPr="00F072BB">
        <w:rPr>
          <w:lang w:val="pt-BR"/>
        </w:rPr>
        <w:t xml:space="preserve"> baixos riscos de preço de transferência e quando são adotados em bases bilaterais ou multilaterais. Deve-se reconhecer que uma disposição de </w:t>
      </w:r>
      <w:r w:rsidR="00805BA0" w:rsidRPr="00F072BB">
        <w:rPr>
          <w:i/>
          <w:lang w:val="pt-BR"/>
        </w:rPr>
        <w:t>safe harbour</w:t>
      </w:r>
      <w:r w:rsidRPr="00F072BB">
        <w:rPr>
          <w:lang w:val="pt-BR"/>
        </w:rPr>
        <w:t xml:space="preserve"> não vincula nem limita de nenhuma forma qualquer administração tributária que não seja a</w:t>
      </w:r>
      <w:r w:rsidR="00805BA0" w:rsidRPr="00F072BB">
        <w:rPr>
          <w:lang w:val="pt-BR"/>
        </w:rPr>
        <w:t>quela</w:t>
      </w:r>
      <w:r w:rsidRPr="00F072BB">
        <w:rPr>
          <w:lang w:val="pt-BR"/>
        </w:rPr>
        <w:t xml:space="preserve"> administração tributária que adotou expressamente o </w:t>
      </w:r>
      <w:r w:rsidR="00805BA0" w:rsidRPr="00F072BB">
        <w:rPr>
          <w:i/>
          <w:lang w:val="pt-BR"/>
        </w:rPr>
        <w:t>safe harbour</w:t>
      </w:r>
      <w:r w:rsidR="00805BA0" w:rsidRPr="00F072BB">
        <w:rPr>
          <w:lang w:val="pt-BR"/>
        </w:rPr>
        <w:t>.</w:t>
      </w:r>
    </w:p>
    <w:p w14:paraId="6AAEDF7C" w14:textId="73D9AB30" w:rsidR="00805BA0" w:rsidRPr="00F072BB" w:rsidRDefault="00805BA0" w:rsidP="00805BA0">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Embora os </w:t>
      </w:r>
      <w:r w:rsidRPr="00F072BB">
        <w:rPr>
          <w:i/>
          <w:lang w:val="pt-BR"/>
        </w:rPr>
        <w:t>safe harbours</w:t>
      </w:r>
      <w:r w:rsidRPr="00F072BB">
        <w:rPr>
          <w:lang w:val="pt-BR"/>
        </w:rPr>
        <w:t xml:space="preserve"> beneficiem principalmente os contribuintes, ao proporcionar um uso mais otimizado dos recursos, eles também podem beneficiar as administrações tributárias. As administrações tributárias podem transferir recursos de auditoria e análise de contribuintes menores e transações menos complexas (que na prática geralmente podem ser resolvidas de maneira consistente tanto na metodologia de preços de transferência quanto nos resultados reais) para casos mais complexos e de maior risco. Ao mesmo tempo, os contribuintes podem precificar transações elegíveis e arquivar suas declarações fiscais com mais </w:t>
      </w:r>
      <w:r w:rsidR="000B744D" w:rsidRPr="00F072BB">
        <w:rPr>
          <w:lang w:val="pt-BR"/>
        </w:rPr>
        <w:t>segurança jurídica</w:t>
      </w:r>
      <w:r w:rsidRPr="00F072BB">
        <w:rPr>
          <w:lang w:val="pt-BR"/>
        </w:rPr>
        <w:t xml:space="preserve"> e com menores encargos de conformidade. No entanto, o projeto de </w:t>
      </w:r>
      <w:r w:rsidR="00031035" w:rsidRPr="00F072BB">
        <w:rPr>
          <w:i/>
          <w:lang w:val="pt-BR"/>
        </w:rPr>
        <w:t>safe harbours</w:t>
      </w:r>
      <w:r w:rsidRPr="00F072BB">
        <w:rPr>
          <w:lang w:val="pt-BR"/>
        </w:rPr>
        <w:t xml:space="preserve"> exige atenção cuidadosa às </w:t>
      </w:r>
      <w:r w:rsidR="00A244E9" w:rsidRPr="00F072BB">
        <w:rPr>
          <w:lang w:val="pt-BR"/>
        </w:rPr>
        <w:t>preocupações</w:t>
      </w:r>
      <w:r w:rsidRPr="00F072BB">
        <w:rPr>
          <w:lang w:val="pt-BR"/>
        </w:rPr>
        <w:t xml:space="preserve"> sobre o grau de aproximação aos preços </w:t>
      </w:r>
      <w:r w:rsidR="00031035" w:rsidRPr="00F072BB">
        <w:rPr>
          <w:i/>
          <w:lang w:val="pt-BR"/>
        </w:rPr>
        <w:t>arm’s length</w:t>
      </w:r>
      <w:r w:rsidR="00031035" w:rsidRPr="00F072BB">
        <w:rPr>
          <w:lang w:val="pt-BR"/>
        </w:rPr>
        <w:t xml:space="preserve"> </w:t>
      </w:r>
      <w:r w:rsidRPr="00F072BB">
        <w:rPr>
          <w:lang w:val="pt-BR"/>
        </w:rPr>
        <w:t xml:space="preserve">que seriam permitidos na determinação de </w:t>
      </w:r>
      <w:r w:rsidRPr="00F072BB">
        <w:rPr>
          <w:lang w:val="pt-BR"/>
        </w:rPr>
        <w:lastRenderedPageBreak/>
        <w:t xml:space="preserve">preços de transferência sob regras de </w:t>
      </w:r>
      <w:r w:rsidR="00031035" w:rsidRPr="00F072BB">
        <w:rPr>
          <w:i/>
          <w:lang w:val="pt-BR"/>
        </w:rPr>
        <w:t>safe harbour</w:t>
      </w:r>
      <w:r w:rsidRPr="00F072BB">
        <w:rPr>
          <w:lang w:val="pt-BR"/>
        </w:rPr>
        <w:t xml:space="preserve"> para contribuintes elegíveis, o potencial para criar oportunidades inadequadas de planejamento tributário, incluindo dupla não tributação de renda, tratamento equitativo de contribuintes em situação semelhante e o potencial de dupla tributação resultante da possível incompatibilidade dos </w:t>
      </w:r>
      <w:r w:rsidR="00031035" w:rsidRPr="00F072BB">
        <w:rPr>
          <w:i/>
          <w:lang w:val="pt-BR"/>
        </w:rPr>
        <w:t>safe harbours</w:t>
      </w:r>
      <w:r w:rsidRPr="00F072BB">
        <w:rPr>
          <w:lang w:val="pt-BR"/>
        </w:rPr>
        <w:t xml:space="preserve"> com o princípio </w:t>
      </w:r>
      <w:r w:rsidR="00031035" w:rsidRPr="00F072BB">
        <w:rPr>
          <w:i/>
          <w:lang w:val="pt-BR"/>
        </w:rPr>
        <w:t>arm’s length</w:t>
      </w:r>
      <w:r w:rsidRPr="00F072BB">
        <w:rPr>
          <w:lang w:val="pt-BR"/>
        </w:rPr>
        <w:t xml:space="preserve"> ou com as práticas de outros países.</w:t>
      </w:r>
    </w:p>
    <w:p w14:paraId="1140DE77" w14:textId="43B0713E" w:rsidR="00A244E9" w:rsidRPr="00F072BB" w:rsidRDefault="00A244E9" w:rsidP="00A244E9">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 discussão a seguir considera os benefícios e as preocupações com relação às disposições </w:t>
      </w:r>
      <w:r w:rsidRPr="00F072BB">
        <w:rPr>
          <w:i/>
          <w:lang w:val="pt-BR"/>
        </w:rPr>
        <w:t>de safe harbours</w:t>
      </w:r>
      <w:r w:rsidRPr="00F072BB">
        <w:rPr>
          <w:lang w:val="pt-BR"/>
        </w:rPr>
        <w:t xml:space="preserve"> e fornece orientação sobre as circunstâncias em que os </w:t>
      </w:r>
      <w:r w:rsidRPr="00F072BB">
        <w:rPr>
          <w:i/>
          <w:lang w:val="pt-BR"/>
        </w:rPr>
        <w:t>safe harbous</w:t>
      </w:r>
      <w:r w:rsidRPr="00F072BB">
        <w:rPr>
          <w:lang w:val="pt-BR"/>
        </w:rPr>
        <w:t xml:space="preserve"> podem ser aplicados em um sistema de preços de transferência com base no princípio </w:t>
      </w:r>
      <w:r w:rsidRPr="00F072BB">
        <w:rPr>
          <w:i/>
          <w:lang w:val="pt-BR"/>
        </w:rPr>
        <w:t>arm’s length</w:t>
      </w:r>
      <w:r w:rsidRPr="00F072BB">
        <w:rPr>
          <w:lang w:val="pt-BR"/>
        </w:rPr>
        <w:t>.</w:t>
      </w:r>
    </w:p>
    <w:p w14:paraId="681A517C" w14:textId="3F4E2D3F" w:rsidR="000A6B1F" w:rsidRPr="00F072BB" w:rsidRDefault="00A244E9" w:rsidP="00CD7DFE">
      <w:pPr>
        <w:pStyle w:val="Num-DocParagraph"/>
        <w:keepNext/>
        <w:numPr>
          <w:ilvl w:val="0"/>
          <w:numId w:val="11"/>
        </w:numPr>
        <w:ind w:left="714" w:right="521" w:hanging="357"/>
        <w:rPr>
          <w:b/>
          <w:lang w:val="pt-BR"/>
        </w:rPr>
      </w:pPr>
      <w:r w:rsidRPr="00F072BB">
        <w:rPr>
          <w:b/>
          <w:lang w:val="pt-BR"/>
        </w:rPr>
        <w:t xml:space="preserve">Definição e conceito de </w:t>
      </w:r>
      <w:r w:rsidR="000A6B1F" w:rsidRPr="00F072BB">
        <w:rPr>
          <w:b/>
          <w:i/>
          <w:lang w:val="pt-BR"/>
        </w:rPr>
        <w:t>safe harbours</w:t>
      </w:r>
    </w:p>
    <w:p w14:paraId="113B2C64" w14:textId="49728DA8" w:rsidR="00A244E9" w:rsidRPr="00F072BB" w:rsidRDefault="00A244E9" w:rsidP="00A244E9">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Algumas das dificuldades que surgem na aplicação do princípio </w:t>
      </w:r>
      <w:r w:rsidRPr="00F072BB">
        <w:rPr>
          <w:i/>
          <w:lang w:val="pt-BR"/>
        </w:rPr>
        <w:t>arm’s length</w:t>
      </w:r>
      <w:r w:rsidRPr="00F072BB">
        <w:rPr>
          <w:lang w:val="pt-BR"/>
        </w:rPr>
        <w:t xml:space="preserve"> podem ser evitadas fornecendo circunstâncias nas quais contribuintes elegíveis podem optar por seguir um conjunto simples de regras de preços de transferência prescritas em conexão com transações definidas de forma clara e cuidadosa, ou podem ser isentas da aplicação das regras gerais de preços de transferência. No primeiro caso, os preços estabelecidos sob essas regras seriam automaticamente aceitos pelas administrações tributárias que adotassem expressamente essas regras. Essas disposições eletivas são frequentemente chamadas de "</w:t>
      </w:r>
      <w:r w:rsidR="00A558C3" w:rsidRPr="00F072BB">
        <w:rPr>
          <w:i/>
          <w:lang w:val="pt-BR"/>
        </w:rPr>
        <w:t xml:space="preserve">safe </w:t>
      </w:r>
      <w:r w:rsidR="002B6626" w:rsidRPr="00F072BB">
        <w:rPr>
          <w:i/>
          <w:lang w:val="pt-BR"/>
        </w:rPr>
        <w:t>harbours</w:t>
      </w:r>
      <w:r w:rsidRPr="00F072BB">
        <w:rPr>
          <w:lang w:val="pt-BR"/>
        </w:rPr>
        <w:t>".</w:t>
      </w:r>
    </w:p>
    <w:p w14:paraId="1A23B7C9" w14:textId="7DB57F4D" w:rsidR="00A558C3" w:rsidRPr="00F072BB" w:rsidRDefault="00A558C3" w:rsidP="00110DC1">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Um </w:t>
      </w:r>
      <w:r w:rsidRPr="00F072BB">
        <w:rPr>
          <w:i/>
          <w:lang w:val="pt-BR"/>
        </w:rPr>
        <w:t>safe harbour</w:t>
      </w:r>
      <w:r w:rsidRPr="00F072BB">
        <w:rPr>
          <w:lang w:val="pt-BR"/>
        </w:rPr>
        <w:t xml:space="preserve"> em um regime de preços de transferência é uma disposição que se aplica a uma categoria definida de contribuintes ou transações e isenta os contribuintes elegíveis de certas obrigações impostas pelas regras gerais de preços de transferência de um país. Um </w:t>
      </w:r>
      <w:r w:rsidRPr="00F072BB">
        <w:rPr>
          <w:i/>
          <w:lang w:val="pt-BR"/>
        </w:rPr>
        <w:t>safe harbour</w:t>
      </w:r>
      <w:r w:rsidRPr="00F072BB">
        <w:rPr>
          <w:lang w:val="pt-BR"/>
        </w:rPr>
        <w:t xml:space="preserve"> </w:t>
      </w:r>
      <w:r w:rsidR="002B6626" w:rsidRPr="00F072BB">
        <w:rPr>
          <w:lang w:val="pt-BR"/>
        </w:rPr>
        <w:t>substitui</w:t>
      </w:r>
      <w:r w:rsidR="00110DC1" w:rsidRPr="00F072BB">
        <w:rPr>
          <w:lang w:val="pt-BR"/>
        </w:rPr>
        <w:t xml:space="preserve"> as obrigações contidas nas regras gerais de um regime de preços de transferência por obrigações mais simples. </w:t>
      </w:r>
      <w:r w:rsidRPr="00F072BB">
        <w:rPr>
          <w:lang w:val="pt-BR"/>
        </w:rPr>
        <w:t xml:space="preserve">Essa disposição poderia, por exemplo, permitir que os contribuintes estabelecessem preços de transferência de uma maneira específica, por exemplo, aplicando uma abordagem simplificada de preços de transferência fornecida pela administração tributária. Como alternativa, um </w:t>
      </w:r>
      <w:r w:rsidR="00110DC1" w:rsidRPr="00F072BB">
        <w:rPr>
          <w:i/>
          <w:lang w:val="pt-BR"/>
        </w:rPr>
        <w:t>safe harbour</w:t>
      </w:r>
      <w:r w:rsidRPr="00F072BB">
        <w:rPr>
          <w:lang w:val="pt-BR"/>
        </w:rPr>
        <w:t xml:space="preserve"> poderia isentar uma categoria definida de contribuintes ou </w:t>
      </w:r>
      <w:r w:rsidR="00110DC1" w:rsidRPr="00F072BB">
        <w:rPr>
          <w:lang w:val="pt-BR"/>
        </w:rPr>
        <w:t>transações da aplicação de toda</w:t>
      </w:r>
      <w:r w:rsidRPr="00F072BB">
        <w:rPr>
          <w:lang w:val="pt-BR"/>
        </w:rPr>
        <w:t xml:space="preserve"> ou parte das regras gerais de preços de transferência. </w:t>
      </w:r>
      <w:r w:rsidR="00110DC1" w:rsidRPr="00F072BB">
        <w:rPr>
          <w:lang w:val="pt-BR"/>
        </w:rPr>
        <w:t>Frequentemente</w:t>
      </w:r>
      <w:r w:rsidRPr="00F072BB">
        <w:rPr>
          <w:lang w:val="pt-BR"/>
        </w:rPr>
        <w:t xml:space="preserve">, os contribuintes elegíveis que cumprirem a </w:t>
      </w:r>
      <w:r w:rsidR="00110DC1" w:rsidRPr="00F072BB">
        <w:rPr>
          <w:lang w:val="pt-BR"/>
        </w:rPr>
        <w:t>disposição do</w:t>
      </w:r>
      <w:r w:rsidRPr="00F072BB">
        <w:rPr>
          <w:lang w:val="pt-BR"/>
        </w:rPr>
        <w:t xml:space="preserve"> </w:t>
      </w:r>
      <w:r w:rsidR="00110DC1" w:rsidRPr="00F072BB">
        <w:rPr>
          <w:i/>
          <w:lang w:val="pt-BR"/>
        </w:rPr>
        <w:t>safe harbour</w:t>
      </w:r>
      <w:r w:rsidRPr="00F072BB">
        <w:rPr>
          <w:lang w:val="pt-BR"/>
        </w:rPr>
        <w:t xml:space="preserve"> serão dispensados de obrigações de conformidade onerosas, incluindo alguns ou todos os requisitos de documentação de preços de transferência.</w:t>
      </w:r>
    </w:p>
    <w:p w14:paraId="2FDF7E0E" w14:textId="4D82C7C4" w:rsidR="00110DC1" w:rsidRPr="00F072BB" w:rsidRDefault="00110DC1" w:rsidP="00110DC1">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Para os fins da discussão nesta seção, os </w:t>
      </w:r>
      <w:r w:rsidRPr="00F072BB">
        <w:rPr>
          <w:i/>
          <w:lang w:val="pt-BR"/>
        </w:rPr>
        <w:t>safe harbours</w:t>
      </w:r>
      <w:r w:rsidRPr="00F072BB">
        <w:rPr>
          <w:lang w:val="pt-BR"/>
        </w:rPr>
        <w:t xml:space="preserve"> não incluem medidas administrativas de simplificação que não envolvem diretamente a determinação de preços </w:t>
      </w:r>
      <w:r w:rsidRPr="00F072BB">
        <w:rPr>
          <w:i/>
          <w:lang w:val="pt-BR"/>
        </w:rPr>
        <w:t>arm’s length</w:t>
      </w:r>
      <w:r w:rsidRPr="00F072BB">
        <w:rPr>
          <w:lang w:val="pt-BR"/>
        </w:rPr>
        <w:t>, por exemplo requisitos simplificados ou isenção de documentação (na ausência de uma determinação de preço) e procedimentos pelos quais uma administração tributária e um contribuinte acordam com o preço de transferência antes das transações controladas (acordos de preços antecipados), discutidos na Seção F deste capítulo. A discussão nesta seção também não se estende às provisões tributárias destinadas a evitar dívidas “excessivas” em uma subsidiária estrangeira (regras de “</w:t>
      </w:r>
      <w:r w:rsidRPr="00F072BB">
        <w:rPr>
          <w:i/>
          <w:lang w:val="pt-BR"/>
        </w:rPr>
        <w:t>subcapitalização</w:t>
      </w:r>
      <w:r w:rsidRPr="00F072BB">
        <w:rPr>
          <w:lang w:val="pt-BR"/>
        </w:rPr>
        <w:t>”).</w:t>
      </w:r>
    </w:p>
    <w:p w14:paraId="5193C7E3" w14:textId="13E29D83" w:rsidR="00E31135" w:rsidRPr="00F072BB" w:rsidRDefault="00E31135" w:rsidP="00E31135">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Embora não atendam totalmente a descrição anterior de um </w:t>
      </w:r>
      <w:r w:rsidRPr="00F072BB">
        <w:rPr>
          <w:i/>
          <w:lang w:val="pt-BR"/>
        </w:rPr>
        <w:t>safe harbour</w:t>
      </w:r>
      <w:r w:rsidRPr="00F072BB">
        <w:rPr>
          <w:lang w:val="pt-BR"/>
        </w:rPr>
        <w:t xml:space="preserve">, pode ser que alguns países adotem outras medidas de simplificação administrativa que usem pressupostos para obter alguns dos benefícios discutidos nesta seção. Por exemplo, uma presunção </w:t>
      </w:r>
      <w:r w:rsidR="00FB43C1" w:rsidRPr="00F072BB">
        <w:rPr>
          <w:lang w:val="pt-BR"/>
        </w:rPr>
        <w:t xml:space="preserve">relativa </w:t>
      </w:r>
      <w:r w:rsidRPr="00F072BB">
        <w:rPr>
          <w:lang w:val="pt-BR"/>
        </w:rPr>
        <w:t xml:space="preserve">pode ser estabelecida sob a qual uma meta obrigatória de preço seria estabelecida por uma autoridade tributária, sujeita ao direito do contribuinte de demonstrar que seu preço de transferência é consistente com o princípio </w:t>
      </w:r>
      <w:r w:rsidRPr="00F072BB">
        <w:rPr>
          <w:i/>
          <w:lang w:val="pt-BR"/>
        </w:rPr>
        <w:t>arm’s length</w:t>
      </w:r>
      <w:r w:rsidRPr="00F072BB">
        <w:rPr>
          <w:lang w:val="pt-BR"/>
        </w:rPr>
        <w:t xml:space="preserve">. Sob esse sistema, seria essencial que o contribuinte não arque com uma carga maior para demonstrar que seu preço é consistente com o princípio do comprimento do braço do que seria se não houvesse esse sistema em vigor. Em qualquer sistema desse tipo, seria essencial permitir </w:t>
      </w:r>
      <w:r w:rsidRPr="00F072BB">
        <w:rPr>
          <w:lang w:val="pt-BR"/>
        </w:rPr>
        <w:lastRenderedPageBreak/>
        <w:t>a resolução de casos de dupla tributação decorrentes da aplicação da presunção obrigatória por meio do procedimento amigável.</w:t>
      </w:r>
    </w:p>
    <w:p w14:paraId="56D24947" w14:textId="19D723A6" w:rsidR="006104F1" w:rsidRPr="00F072BB" w:rsidRDefault="00E31135" w:rsidP="00CD7DFE">
      <w:pPr>
        <w:pStyle w:val="Num-DocParagraph"/>
        <w:keepNext/>
        <w:numPr>
          <w:ilvl w:val="0"/>
          <w:numId w:val="11"/>
        </w:numPr>
        <w:ind w:left="714" w:right="521" w:hanging="357"/>
        <w:rPr>
          <w:b/>
        </w:rPr>
      </w:pPr>
      <w:r w:rsidRPr="00F072BB">
        <w:rPr>
          <w:b/>
        </w:rPr>
        <w:t>Benefícios dos s</w:t>
      </w:r>
      <w:r w:rsidRPr="00F072BB">
        <w:rPr>
          <w:b/>
          <w:i/>
        </w:rPr>
        <w:t>afe harbours</w:t>
      </w:r>
    </w:p>
    <w:p w14:paraId="6EF948C6" w14:textId="70E1B5E5" w:rsidR="00D722A4" w:rsidRPr="00F072BB" w:rsidRDefault="009F214A" w:rsidP="00870416">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Os benefícios </w:t>
      </w:r>
      <w:r w:rsidR="002B6626" w:rsidRPr="00F072BB">
        <w:rPr>
          <w:lang w:val="pt-BR"/>
        </w:rPr>
        <w:t>básicos</w:t>
      </w:r>
      <w:r w:rsidRPr="00F072BB">
        <w:rPr>
          <w:lang w:val="pt-BR"/>
        </w:rPr>
        <w:t xml:space="preserve"> dos </w:t>
      </w:r>
      <w:r w:rsidRPr="00F072BB">
        <w:rPr>
          <w:i/>
          <w:lang w:val="pt-BR"/>
        </w:rPr>
        <w:t>safe harbours</w:t>
      </w:r>
      <w:r w:rsidRPr="00F072BB">
        <w:rPr>
          <w:lang w:val="pt-BR"/>
        </w:rPr>
        <w:t xml:space="preserve"> são os seguintes:</w:t>
      </w:r>
    </w:p>
    <w:p w14:paraId="74DC2F7B" w14:textId="3CE60CE9" w:rsidR="009F214A" w:rsidRPr="00F072BB" w:rsidRDefault="009F214A" w:rsidP="009F214A">
      <w:pPr>
        <w:pStyle w:val="Num-DocParagraph"/>
        <w:numPr>
          <w:ilvl w:val="3"/>
          <w:numId w:val="17"/>
        </w:numPr>
        <w:tabs>
          <w:tab w:val="clear" w:pos="850"/>
          <w:tab w:val="clear" w:pos="1191"/>
          <w:tab w:val="left" w:pos="720"/>
          <w:tab w:val="left" w:pos="1560"/>
        </w:tabs>
        <w:ind w:left="1560" w:right="556" w:hanging="709"/>
        <w:rPr>
          <w:lang w:val="pt-BR"/>
        </w:rPr>
      </w:pPr>
      <w:r w:rsidRPr="00F072BB">
        <w:rPr>
          <w:lang w:val="pt-BR"/>
        </w:rPr>
        <w:t>Simplificação da conformidade tributária e redução dos custos de conformidade tributária para contribuintes elegíveis na determinação e documentação de condições apropriadas para a qualificação de transações controladas</w:t>
      </w:r>
    </w:p>
    <w:p w14:paraId="1B6F0365" w14:textId="084858F6" w:rsidR="009F214A" w:rsidRPr="00F072BB" w:rsidRDefault="009F214A" w:rsidP="009F214A">
      <w:pPr>
        <w:pStyle w:val="Num-DocParagraph"/>
        <w:numPr>
          <w:ilvl w:val="3"/>
          <w:numId w:val="17"/>
        </w:numPr>
        <w:tabs>
          <w:tab w:val="clear" w:pos="850"/>
          <w:tab w:val="clear" w:pos="1191"/>
          <w:tab w:val="left" w:pos="720"/>
          <w:tab w:val="left" w:pos="1560"/>
        </w:tabs>
        <w:ind w:left="1560" w:right="556" w:hanging="709"/>
        <w:rPr>
          <w:lang w:val="pt-BR"/>
        </w:rPr>
      </w:pPr>
      <w:r w:rsidRPr="00F072BB">
        <w:rPr>
          <w:lang w:val="pt-BR"/>
        </w:rPr>
        <w:t xml:space="preserve">Garantir aos contribuintes elegíveis que o preço cobrado ou pago em transações controladas qualificadas será aceito pelas administrações </w:t>
      </w:r>
      <w:r w:rsidR="00E24AB5" w:rsidRPr="00F072BB">
        <w:rPr>
          <w:lang w:val="pt-BR"/>
        </w:rPr>
        <w:t>tributárias</w:t>
      </w:r>
      <w:r w:rsidRPr="00F072BB">
        <w:rPr>
          <w:lang w:val="pt-BR"/>
        </w:rPr>
        <w:t xml:space="preserve"> que adotaram o </w:t>
      </w:r>
      <w:r w:rsidR="00E24AB5" w:rsidRPr="00F072BB">
        <w:rPr>
          <w:i/>
          <w:lang w:val="pt-BR"/>
        </w:rPr>
        <w:t>safe harbour</w:t>
      </w:r>
      <w:r w:rsidRPr="00F072BB">
        <w:rPr>
          <w:lang w:val="pt-BR"/>
        </w:rPr>
        <w:t xml:space="preserve"> com uma auditoria limitada ou sem uma auditoria além de garantir que o contribuinte cumpra as condições de elegibilidade e</w:t>
      </w:r>
      <w:r w:rsidR="00E24AB5" w:rsidRPr="00F072BB">
        <w:rPr>
          <w:lang w:val="pt-BR"/>
        </w:rPr>
        <w:t xml:space="preserve"> demais </w:t>
      </w:r>
      <w:r w:rsidRPr="00F072BB">
        <w:rPr>
          <w:lang w:val="pt-BR"/>
        </w:rPr>
        <w:t xml:space="preserve">disposições do </w:t>
      </w:r>
      <w:r w:rsidR="00E24AB5" w:rsidRPr="00F072BB">
        <w:rPr>
          <w:i/>
          <w:lang w:val="pt-BR"/>
        </w:rPr>
        <w:t>safe harbour</w:t>
      </w:r>
    </w:p>
    <w:p w14:paraId="114AB401" w14:textId="4C4330E9" w:rsidR="00E24AB5" w:rsidRPr="00F072BB" w:rsidRDefault="00E24AB5" w:rsidP="00E24AB5">
      <w:pPr>
        <w:pStyle w:val="Num-DocParagraph"/>
        <w:numPr>
          <w:ilvl w:val="3"/>
          <w:numId w:val="17"/>
        </w:numPr>
        <w:tabs>
          <w:tab w:val="clear" w:pos="850"/>
          <w:tab w:val="clear" w:pos="1191"/>
          <w:tab w:val="left" w:pos="720"/>
          <w:tab w:val="left" w:pos="1560"/>
        </w:tabs>
        <w:ind w:left="1560" w:right="556" w:hanging="709"/>
        <w:rPr>
          <w:lang w:val="pt-BR"/>
        </w:rPr>
      </w:pPr>
      <w:r w:rsidRPr="00F072BB">
        <w:rPr>
          <w:lang w:val="pt-BR"/>
        </w:rPr>
        <w:t>Permitir que as administrações tributárias redirecionem seus recursos administrativos da avaliação de transações de menor risco para avaliação de transações e contribuintes mais complexos ou de maior risco.</w:t>
      </w:r>
    </w:p>
    <w:p w14:paraId="12F1A3E7" w14:textId="6651DD33" w:rsidR="006104F1" w:rsidRPr="00F072BB" w:rsidRDefault="00E24AB5" w:rsidP="00CD7DFE">
      <w:pPr>
        <w:pStyle w:val="Num-DocParagraph"/>
        <w:keepNext/>
        <w:numPr>
          <w:ilvl w:val="0"/>
          <w:numId w:val="15"/>
        </w:numPr>
        <w:tabs>
          <w:tab w:val="clear" w:pos="850"/>
          <w:tab w:val="left" w:pos="720"/>
        </w:tabs>
        <w:ind w:right="521" w:hanging="210"/>
        <w:rPr>
          <w:b/>
          <w:i/>
          <w:lang w:val="pt-BR"/>
        </w:rPr>
      </w:pPr>
      <w:r w:rsidRPr="00F072BB">
        <w:rPr>
          <w:b/>
          <w:i/>
          <w:lang w:val="pt-BR"/>
        </w:rPr>
        <w:t>Alívio na conformidade tributária</w:t>
      </w:r>
    </w:p>
    <w:p w14:paraId="5777C61F" w14:textId="78A5F7AD" w:rsidR="00E24AB5" w:rsidRPr="00F072BB" w:rsidRDefault="00E24AB5" w:rsidP="00E24AB5">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 aplicação do princípio </w:t>
      </w:r>
      <w:r w:rsidRPr="00F072BB">
        <w:rPr>
          <w:i/>
          <w:lang w:val="pt-BR"/>
        </w:rPr>
        <w:t>arm’s length</w:t>
      </w:r>
      <w:r w:rsidRPr="00F072BB">
        <w:rPr>
          <w:lang w:val="pt-BR"/>
        </w:rPr>
        <w:t xml:space="preserve"> pode exigir a coleta e análise de dados que podem ser difíceis ou dispendiosos para </w:t>
      </w:r>
      <w:r w:rsidR="000B744D" w:rsidRPr="00F072BB">
        <w:rPr>
          <w:lang w:val="pt-BR"/>
        </w:rPr>
        <w:t>sua obtenção e/ou avaliação</w:t>
      </w:r>
      <w:r w:rsidRPr="00F072BB">
        <w:rPr>
          <w:lang w:val="pt-BR"/>
        </w:rPr>
        <w:t>. Em certos casos, esses encargos de conformidade</w:t>
      </w:r>
      <w:r w:rsidR="000B744D" w:rsidRPr="00F072BB">
        <w:rPr>
          <w:lang w:val="pt-BR"/>
        </w:rPr>
        <w:t xml:space="preserve"> </w:t>
      </w:r>
      <w:r w:rsidRPr="00F072BB">
        <w:rPr>
          <w:lang w:val="pt-BR"/>
        </w:rPr>
        <w:t>podem ser desproporcionais ao tamanho do contribuinte, às suas funções desempenhadas e aos riscos de preços de transferência inerentes às suas transações controladas.</w:t>
      </w:r>
    </w:p>
    <w:p w14:paraId="1DF16AB4" w14:textId="7ABF4EEF" w:rsidR="000B744D" w:rsidRPr="00F072BB" w:rsidRDefault="000B744D" w:rsidP="000B744D">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Os </w:t>
      </w:r>
      <w:r w:rsidR="00CE3E8E" w:rsidRPr="00F072BB">
        <w:rPr>
          <w:lang w:val="pt-BR"/>
        </w:rPr>
        <w:t>s</w:t>
      </w:r>
      <w:r w:rsidR="00CE3E8E" w:rsidRPr="00F072BB">
        <w:rPr>
          <w:i/>
          <w:lang w:val="pt-BR"/>
        </w:rPr>
        <w:t>afe harbours</w:t>
      </w:r>
      <w:r w:rsidRPr="00F072BB">
        <w:rPr>
          <w:lang w:val="pt-BR"/>
        </w:rPr>
        <w:t xml:space="preserve"> adequadamente projetados podem facilitar significativamente os encargos de conformidade, eliminando a coleta de dados e os requisitos de documentação associados em troca das transações qualificadas de preços dos contribuintes, dentro dos parâmetros estabelecidos pelo </w:t>
      </w:r>
      <w:r w:rsidR="00CE3E8E" w:rsidRPr="00F072BB">
        <w:rPr>
          <w:i/>
          <w:lang w:val="pt-BR"/>
        </w:rPr>
        <w:t>safe harbour</w:t>
      </w:r>
      <w:r w:rsidRPr="00F072BB">
        <w:rPr>
          <w:lang w:val="pt-BR"/>
        </w:rPr>
        <w:t xml:space="preserve">. Especialmente em áreas onde os riscos de preços de transferência são pequenos e o ônus da conformidade e documentação é desproporcional à exposição </w:t>
      </w:r>
      <w:r w:rsidR="00CE3E8E" w:rsidRPr="00F072BB">
        <w:rPr>
          <w:lang w:val="pt-BR"/>
        </w:rPr>
        <w:t>ao preço de transferência, essa troca pode ser mutuamente vantajosa</w:t>
      </w:r>
      <w:r w:rsidRPr="00F072BB">
        <w:rPr>
          <w:lang w:val="pt-BR"/>
        </w:rPr>
        <w:t xml:space="preserve"> para os contribuintes e administrações tributárias. Sob um </w:t>
      </w:r>
      <w:r w:rsidR="00CE3E8E" w:rsidRPr="00F072BB">
        <w:rPr>
          <w:i/>
          <w:lang w:val="pt-BR"/>
        </w:rPr>
        <w:t>safe harbour</w:t>
      </w:r>
      <w:r w:rsidRPr="00F072BB">
        <w:rPr>
          <w:lang w:val="pt-BR"/>
        </w:rPr>
        <w:t xml:space="preserve">, os contribuintes poderiam estabelecer preços de transferência que não serão desafiados pelas administrações </w:t>
      </w:r>
      <w:r w:rsidR="00CE3E8E" w:rsidRPr="00F072BB">
        <w:rPr>
          <w:lang w:val="pt-BR"/>
        </w:rPr>
        <w:t>tributárias</w:t>
      </w:r>
      <w:r w:rsidRPr="00F072BB">
        <w:rPr>
          <w:lang w:val="pt-BR"/>
        </w:rPr>
        <w:t xml:space="preserve"> que fornecem o </w:t>
      </w:r>
      <w:r w:rsidR="00CE3E8E" w:rsidRPr="00F072BB">
        <w:rPr>
          <w:i/>
          <w:lang w:val="pt-BR"/>
        </w:rPr>
        <w:t>safe harbour</w:t>
      </w:r>
      <w:r w:rsidRPr="00F072BB">
        <w:rPr>
          <w:lang w:val="pt-BR"/>
        </w:rPr>
        <w:t xml:space="preserve"> sem serem obrigados a procurar transações comparáveis ou gastar recursos para demonstrar conformidade com os preços de transferência para essas administrações </w:t>
      </w:r>
      <w:r w:rsidR="00CE3E8E" w:rsidRPr="00F072BB">
        <w:rPr>
          <w:lang w:val="pt-BR"/>
        </w:rPr>
        <w:t>tributárias</w:t>
      </w:r>
      <w:r w:rsidRPr="00F072BB">
        <w:rPr>
          <w:lang w:val="pt-BR"/>
        </w:rPr>
        <w:t>.</w:t>
      </w:r>
    </w:p>
    <w:p w14:paraId="73DB58E4" w14:textId="5F017BB9" w:rsidR="006104F1" w:rsidRPr="00F072BB" w:rsidRDefault="00CE3E8E" w:rsidP="00CD7DFE">
      <w:pPr>
        <w:pStyle w:val="Num-DocParagraph"/>
        <w:keepNext/>
        <w:numPr>
          <w:ilvl w:val="0"/>
          <w:numId w:val="15"/>
        </w:numPr>
        <w:tabs>
          <w:tab w:val="clear" w:pos="850"/>
          <w:tab w:val="left" w:pos="720"/>
        </w:tabs>
        <w:ind w:right="521" w:hanging="210"/>
        <w:rPr>
          <w:b/>
          <w:i/>
        </w:rPr>
      </w:pPr>
      <w:r w:rsidRPr="00F072BB">
        <w:rPr>
          <w:b/>
          <w:i/>
        </w:rPr>
        <w:t>Segurança jurídica</w:t>
      </w:r>
    </w:p>
    <w:p w14:paraId="730DE950" w14:textId="43BEDBAA" w:rsidR="00CE3E8E" w:rsidRPr="00F072BB" w:rsidRDefault="00CE3E8E" w:rsidP="00580D3F">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Outra vantagem oferecida por um </w:t>
      </w:r>
      <w:r w:rsidRPr="00F072BB">
        <w:rPr>
          <w:i/>
          <w:lang w:val="pt-BR"/>
        </w:rPr>
        <w:t>safe harbour</w:t>
      </w:r>
      <w:r w:rsidRPr="00F072BB">
        <w:rPr>
          <w:lang w:val="pt-BR"/>
        </w:rPr>
        <w:t xml:space="preserve"> é a certeza de que os preços de transferência do contribuinte serão aceitos pela administração tributária que fornece o </w:t>
      </w:r>
      <w:r w:rsidRPr="00F072BB">
        <w:rPr>
          <w:i/>
          <w:lang w:val="pt-BR"/>
        </w:rPr>
        <w:t>safe harbour</w:t>
      </w:r>
      <w:r w:rsidRPr="00F072BB">
        <w:rPr>
          <w:lang w:val="pt-BR"/>
        </w:rPr>
        <w:t xml:space="preserve">, desde que cumpram as condições de elegibilidade as disposições do </w:t>
      </w:r>
      <w:r w:rsidRPr="00F072BB">
        <w:rPr>
          <w:i/>
          <w:lang w:val="pt-BR"/>
        </w:rPr>
        <w:t>safe harbour</w:t>
      </w:r>
      <w:r w:rsidRPr="00F072BB">
        <w:rPr>
          <w:lang w:val="pt-BR"/>
        </w:rPr>
        <w:t xml:space="preserve">. A administração tributária aceitaria, com pouca ou nenhuma fiscalização, os preços de transferência dentro dos parâmetros do </w:t>
      </w:r>
      <w:r w:rsidRPr="00F072BB">
        <w:rPr>
          <w:i/>
          <w:lang w:val="pt-BR"/>
        </w:rPr>
        <w:t>safe harbour</w:t>
      </w:r>
      <w:r w:rsidRPr="00F072BB">
        <w:rPr>
          <w:lang w:val="pt-BR"/>
        </w:rPr>
        <w:t>. Os contribuintes poderiam receber parâmetros relevantes que forneceriam um preço de transferência considerado apropriado pela administração tributária para a transação qualificada.</w:t>
      </w:r>
    </w:p>
    <w:p w14:paraId="43F2D04C" w14:textId="508CA62D" w:rsidR="006104F1" w:rsidRPr="00F072BB" w:rsidRDefault="00DC3A49" w:rsidP="00CD7DFE">
      <w:pPr>
        <w:pStyle w:val="Num-DocParagraph"/>
        <w:keepNext/>
        <w:numPr>
          <w:ilvl w:val="0"/>
          <w:numId w:val="15"/>
        </w:numPr>
        <w:tabs>
          <w:tab w:val="clear" w:pos="850"/>
          <w:tab w:val="left" w:pos="720"/>
        </w:tabs>
        <w:ind w:right="521" w:hanging="210"/>
        <w:rPr>
          <w:b/>
          <w:i/>
        </w:rPr>
      </w:pPr>
      <w:r w:rsidRPr="00F072BB">
        <w:rPr>
          <w:b/>
          <w:i/>
        </w:rPr>
        <w:t>Simplicidade administrativa</w:t>
      </w:r>
    </w:p>
    <w:p w14:paraId="53DB2C68" w14:textId="4FFD86F3" w:rsidR="00DC3A49" w:rsidRPr="00F072BB" w:rsidRDefault="00DC3A49" w:rsidP="00DC3A49">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Um </w:t>
      </w:r>
      <w:r w:rsidRPr="00F072BB">
        <w:rPr>
          <w:i/>
          <w:lang w:val="pt-BR"/>
        </w:rPr>
        <w:t>safe harbour</w:t>
      </w:r>
      <w:r w:rsidRPr="00F072BB">
        <w:rPr>
          <w:lang w:val="pt-BR"/>
        </w:rPr>
        <w:t xml:space="preserve"> </w:t>
      </w:r>
      <w:r w:rsidR="00B94A5B" w:rsidRPr="00F072BB">
        <w:rPr>
          <w:lang w:val="pt-BR"/>
        </w:rPr>
        <w:t>traria</w:t>
      </w:r>
      <w:r w:rsidRPr="00F072BB">
        <w:rPr>
          <w:lang w:val="pt-BR"/>
        </w:rPr>
        <w:t xml:space="preserve"> um grau de simplicidade administrativa para a administração tributária. Embora a elegibilidade de contribuintes ou transações específicas </w:t>
      </w:r>
      <w:r w:rsidRPr="00F072BB">
        <w:rPr>
          <w:lang w:val="pt-BR"/>
        </w:rPr>
        <w:lastRenderedPageBreak/>
        <w:t xml:space="preserve">para o </w:t>
      </w:r>
      <w:r w:rsidR="009E7D0E" w:rsidRPr="00F072BB">
        <w:rPr>
          <w:i/>
          <w:lang w:val="pt-BR"/>
        </w:rPr>
        <w:t>safe harbour</w:t>
      </w:r>
      <w:r w:rsidRPr="00F072BB">
        <w:rPr>
          <w:lang w:val="pt-BR"/>
        </w:rPr>
        <w:t xml:space="preserve"> precise ser cuidadosamente avaliada, dependendo da disposição específica do </w:t>
      </w:r>
      <w:r w:rsidR="00B94A5B" w:rsidRPr="00F072BB">
        <w:rPr>
          <w:i/>
          <w:lang w:val="pt-BR"/>
        </w:rPr>
        <w:t>safe harbour</w:t>
      </w:r>
      <w:r w:rsidRPr="00F072BB">
        <w:rPr>
          <w:lang w:val="pt-BR"/>
        </w:rPr>
        <w:t xml:space="preserve">, essas avaliações não necessariamente terão que ser realizadas por auditores com experiência em preços de transferência. Uma vez estabelecida a elegibilidade para o </w:t>
      </w:r>
      <w:r w:rsidR="00B94A5B" w:rsidRPr="00F072BB">
        <w:rPr>
          <w:i/>
          <w:lang w:val="pt-BR"/>
        </w:rPr>
        <w:t>safe harbour</w:t>
      </w:r>
      <w:r w:rsidRPr="00F072BB">
        <w:rPr>
          <w:lang w:val="pt-BR"/>
        </w:rPr>
        <w:t xml:space="preserve">, os contribuintes qualificados exigiriam um exame mínimo em relação aos preços de transferência das transações controladas que se qualificam para o </w:t>
      </w:r>
      <w:r w:rsidR="00B94A5B" w:rsidRPr="00F072BB">
        <w:rPr>
          <w:i/>
          <w:lang w:val="pt-BR"/>
        </w:rPr>
        <w:t>safe harbour</w:t>
      </w:r>
      <w:r w:rsidRPr="00F072BB">
        <w:rPr>
          <w:lang w:val="pt-BR"/>
        </w:rPr>
        <w:t xml:space="preserve">. Isso permitiria às administrações tributárias garantir receitas tributárias em situações de baixo risco com um </w:t>
      </w:r>
      <w:r w:rsidR="00171717" w:rsidRPr="00F072BB">
        <w:rPr>
          <w:lang w:val="pt-BR"/>
        </w:rPr>
        <w:t xml:space="preserve">limitado </w:t>
      </w:r>
      <w:r w:rsidRPr="00F072BB">
        <w:rPr>
          <w:lang w:val="pt-BR"/>
        </w:rPr>
        <w:t>comprometimento de recursos administrativos</w:t>
      </w:r>
      <w:r w:rsidR="00171717" w:rsidRPr="00F072BB">
        <w:rPr>
          <w:lang w:val="pt-BR"/>
        </w:rPr>
        <w:t>,</w:t>
      </w:r>
      <w:r w:rsidRPr="00F072BB">
        <w:rPr>
          <w:lang w:val="pt-BR"/>
        </w:rPr>
        <w:t xml:space="preserve"> e concentrar seus esforços no exame de transações e contribuintes mais complexo</w:t>
      </w:r>
      <w:r w:rsidR="00B94A5B" w:rsidRPr="00F072BB">
        <w:rPr>
          <w:lang w:val="pt-BR"/>
        </w:rPr>
        <w:t xml:space="preserve">s ou de maior risco. Um </w:t>
      </w:r>
      <w:r w:rsidR="00B94A5B" w:rsidRPr="00F072BB">
        <w:rPr>
          <w:i/>
          <w:lang w:val="pt-BR"/>
        </w:rPr>
        <w:t xml:space="preserve">safe harbour </w:t>
      </w:r>
      <w:r w:rsidRPr="00F072BB">
        <w:rPr>
          <w:lang w:val="pt-BR"/>
        </w:rPr>
        <w:t>também pode aumentar o nível de conformidade</w:t>
      </w:r>
      <w:r w:rsidR="00B94A5B" w:rsidRPr="00F072BB">
        <w:rPr>
          <w:lang w:val="pt-BR"/>
        </w:rPr>
        <w:t xml:space="preserve"> tributária </w:t>
      </w:r>
      <w:r w:rsidRPr="00F072BB">
        <w:rPr>
          <w:lang w:val="pt-BR"/>
        </w:rPr>
        <w:t xml:space="preserve">entre os pequenos contribuintes que, de outra forma, poderiam acreditar que suas práticas de preços de transferência </w:t>
      </w:r>
      <w:r w:rsidR="00171717" w:rsidRPr="00F072BB">
        <w:rPr>
          <w:lang w:val="pt-BR"/>
        </w:rPr>
        <w:t>não seriam minunciosamente analisadas</w:t>
      </w:r>
      <w:r w:rsidRPr="00F072BB">
        <w:rPr>
          <w:lang w:val="pt-BR"/>
        </w:rPr>
        <w:t>.</w:t>
      </w:r>
    </w:p>
    <w:p w14:paraId="664875A8" w14:textId="0A651255" w:rsidR="006104F1" w:rsidRPr="00F072BB" w:rsidRDefault="00171717" w:rsidP="00CD7DFE">
      <w:pPr>
        <w:pStyle w:val="Num-DocParagraph"/>
        <w:keepNext/>
        <w:numPr>
          <w:ilvl w:val="0"/>
          <w:numId w:val="11"/>
        </w:numPr>
        <w:ind w:left="714" w:right="521" w:hanging="357"/>
        <w:rPr>
          <w:b/>
        </w:rPr>
      </w:pPr>
      <w:r w:rsidRPr="00F072BB">
        <w:rPr>
          <w:b/>
        </w:rPr>
        <w:t>Preocupações sobre</w:t>
      </w:r>
      <w:r w:rsidR="006104F1" w:rsidRPr="00F072BB">
        <w:rPr>
          <w:b/>
        </w:rPr>
        <w:t xml:space="preserve"> </w:t>
      </w:r>
      <w:r w:rsidR="006104F1" w:rsidRPr="00F072BB">
        <w:rPr>
          <w:b/>
          <w:i/>
        </w:rPr>
        <w:t>safe harbours</w:t>
      </w:r>
    </w:p>
    <w:p w14:paraId="489AFC90" w14:textId="5F2BDCAD" w:rsidR="0070605B" w:rsidRPr="00F072BB" w:rsidRDefault="00171717" w:rsidP="00171717">
      <w:pPr>
        <w:pStyle w:val="Num-DocParagraph"/>
        <w:numPr>
          <w:ilvl w:val="0"/>
          <w:numId w:val="13"/>
        </w:numPr>
        <w:tabs>
          <w:tab w:val="clear" w:pos="850"/>
          <w:tab w:val="clear" w:pos="1191"/>
          <w:tab w:val="left" w:pos="720"/>
          <w:tab w:val="left" w:pos="1560"/>
        </w:tabs>
        <w:ind w:right="556"/>
      </w:pPr>
      <w:r w:rsidRPr="00F072BB">
        <w:rPr>
          <w:lang w:val="pt-BR"/>
        </w:rPr>
        <w:t xml:space="preserve">A disponibilidade de </w:t>
      </w:r>
      <w:r w:rsidR="006C1B7C" w:rsidRPr="00F072BB">
        <w:rPr>
          <w:i/>
          <w:lang w:val="pt-BR"/>
        </w:rPr>
        <w:t>safe harbours</w:t>
      </w:r>
      <w:r w:rsidR="006C1B7C" w:rsidRPr="00F072BB">
        <w:rPr>
          <w:lang w:val="pt-BR"/>
        </w:rPr>
        <w:t xml:space="preserve"> </w:t>
      </w:r>
      <w:r w:rsidRPr="00F072BB">
        <w:rPr>
          <w:lang w:val="pt-BR"/>
        </w:rPr>
        <w:t>para uma determinada categoria de contribuintes ou transações pode ter consequências adversas</w:t>
      </w:r>
      <w:r w:rsidR="006C1B7C" w:rsidRPr="00F072BB">
        <w:rPr>
          <w:lang w:val="pt-BR"/>
        </w:rPr>
        <w:t xml:space="preserve">. </w:t>
      </w:r>
      <w:r w:rsidRPr="00F072BB">
        <w:rPr>
          <w:lang w:val="pt-BR"/>
        </w:rPr>
        <w:t>Essas preocupações decorrem do fato de que:</w:t>
      </w:r>
    </w:p>
    <w:p w14:paraId="7FD33C5E" w14:textId="05617C92" w:rsidR="00171717" w:rsidRPr="00F072BB" w:rsidRDefault="00171717" w:rsidP="00171717">
      <w:pPr>
        <w:pStyle w:val="Num-DocParagraph"/>
        <w:numPr>
          <w:ilvl w:val="0"/>
          <w:numId w:val="19"/>
        </w:numPr>
        <w:tabs>
          <w:tab w:val="clear" w:pos="850"/>
          <w:tab w:val="clear" w:pos="1191"/>
          <w:tab w:val="left" w:pos="720"/>
          <w:tab w:val="left" w:pos="1560"/>
        </w:tabs>
        <w:ind w:left="1560" w:right="556" w:hanging="709"/>
        <w:rPr>
          <w:lang w:val="pt-BR"/>
        </w:rPr>
      </w:pPr>
      <w:r w:rsidRPr="00F072BB">
        <w:rPr>
          <w:lang w:val="pt-BR"/>
        </w:rPr>
        <w:t xml:space="preserve">A implementação de um </w:t>
      </w:r>
      <w:r w:rsidRPr="00F072BB">
        <w:rPr>
          <w:i/>
          <w:lang w:val="pt-BR"/>
        </w:rPr>
        <w:t>safe harbour</w:t>
      </w:r>
      <w:r w:rsidRPr="00F072BB">
        <w:rPr>
          <w:lang w:val="pt-BR"/>
        </w:rPr>
        <w:t xml:space="preserve"> em um determinado país pode levar à geração de receita tributável que não está de acordo com o princípio </w:t>
      </w:r>
      <w:r w:rsidRPr="00F072BB">
        <w:rPr>
          <w:i/>
          <w:lang w:val="pt-BR"/>
        </w:rPr>
        <w:t>arm’s length</w:t>
      </w:r>
      <w:r w:rsidRPr="00F072BB">
        <w:rPr>
          <w:lang w:val="pt-BR"/>
        </w:rPr>
        <w:t>;</w:t>
      </w:r>
    </w:p>
    <w:p w14:paraId="4D0F8D06" w14:textId="6591AA02" w:rsidR="00171717" w:rsidRPr="00F072BB" w:rsidRDefault="00171717" w:rsidP="00171717">
      <w:pPr>
        <w:pStyle w:val="Num-DocParagraph"/>
        <w:numPr>
          <w:ilvl w:val="0"/>
          <w:numId w:val="19"/>
        </w:numPr>
        <w:tabs>
          <w:tab w:val="clear" w:pos="850"/>
          <w:tab w:val="clear" w:pos="1191"/>
          <w:tab w:val="left" w:pos="720"/>
          <w:tab w:val="left" w:pos="1560"/>
        </w:tabs>
        <w:ind w:left="1560" w:right="556" w:hanging="709"/>
        <w:rPr>
          <w:lang w:val="pt-BR"/>
        </w:rPr>
      </w:pPr>
      <w:r w:rsidRPr="00F072BB">
        <w:rPr>
          <w:lang w:val="pt-BR"/>
        </w:rPr>
        <w:t xml:space="preserve">Os </w:t>
      </w:r>
      <w:r w:rsidRPr="00F072BB">
        <w:rPr>
          <w:i/>
          <w:lang w:val="pt-BR"/>
        </w:rPr>
        <w:t>safe harbours</w:t>
      </w:r>
      <w:r w:rsidRPr="00F072BB">
        <w:rPr>
          <w:lang w:val="pt-BR"/>
        </w:rPr>
        <w:t xml:space="preserve"> podem aumentar o risco de dupla tributação ou não tributação quando adotados unilateralmente;</w:t>
      </w:r>
    </w:p>
    <w:p w14:paraId="321A2D9D" w14:textId="77777777" w:rsidR="00171717" w:rsidRPr="00F072BB" w:rsidRDefault="00171717" w:rsidP="00171717">
      <w:pPr>
        <w:pStyle w:val="Num-DocParagraph"/>
        <w:numPr>
          <w:ilvl w:val="0"/>
          <w:numId w:val="19"/>
        </w:numPr>
        <w:tabs>
          <w:tab w:val="clear" w:pos="850"/>
          <w:tab w:val="clear" w:pos="1191"/>
          <w:tab w:val="left" w:pos="720"/>
          <w:tab w:val="left" w:pos="1560"/>
        </w:tabs>
        <w:ind w:left="1560" w:right="556" w:hanging="709"/>
        <w:rPr>
          <w:lang w:val="pt-BR"/>
        </w:rPr>
      </w:pPr>
      <w:r w:rsidRPr="00F072BB">
        <w:rPr>
          <w:i/>
          <w:lang w:val="pt-BR"/>
        </w:rPr>
        <w:t>Safe harbours</w:t>
      </w:r>
      <w:r w:rsidRPr="00F072BB">
        <w:rPr>
          <w:lang w:val="pt-BR"/>
        </w:rPr>
        <w:t xml:space="preserve"> abrem potenciais caminhos para um planejamento tributário inadequado, e</w:t>
      </w:r>
    </w:p>
    <w:p w14:paraId="0A01CF62" w14:textId="0824F9BB" w:rsidR="006104F1" w:rsidRPr="00F072BB" w:rsidRDefault="006C1B7C" w:rsidP="00171717">
      <w:pPr>
        <w:pStyle w:val="Num-DocParagraph"/>
        <w:numPr>
          <w:ilvl w:val="0"/>
          <w:numId w:val="19"/>
        </w:numPr>
        <w:tabs>
          <w:tab w:val="clear" w:pos="850"/>
          <w:tab w:val="clear" w:pos="1191"/>
          <w:tab w:val="left" w:pos="720"/>
          <w:tab w:val="left" w:pos="1560"/>
        </w:tabs>
        <w:ind w:left="1560" w:right="556" w:hanging="709"/>
        <w:rPr>
          <w:lang w:val="pt-BR"/>
        </w:rPr>
      </w:pPr>
      <w:r w:rsidRPr="00F072BB">
        <w:rPr>
          <w:lang w:val="pt-BR"/>
        </w:rPr>
        <w:t>Safe harbours</w:t>
      </w:r>
      <w:r w:rsidR="00171717" w:rsidRPr="00F072BB">
        <w:rPr>
          <w:lang w:val="pt-BR"/>
        </w:rPr>
        <w:t xml:space="preserve"> podem levantar questões de equidade e uniformidade.</w:t>
      </w:r>
    </w:p>
    <w:p w14:paraId="0FF9947F" w14:textId="2E8684A5" w:rsidR="006104F1" w:rsidRPr="00F072BB" w:rsidRDefault="00171717" w:rsidP="00CD7DFE">
      <w:pPr>
        <w:pStyle w:val="Num-DocParagraph"/>
        <w:keepNext/>
        <w:numPr>
          <w:ilvl w:val="0"/>
          <w:numId w:val="16"/>
        </w:numPr>
        <w:tabs>
          <w:tab w:val="clear" w:pos="850"/>
          <w:tab w:val="left" w:pos="720"/>
        </w:tabs>
        <w:ind w:right="521"/>
        <w:rPr>
          <w:b/>
          <w:i/>
        </w:rPr>
      </w:pPr>
      <w:r w:rsidRPr="00F072BB">
        <w:rPr>
          <w:b/>
          <w:i/>
        </w:rPr>
        <w:t>Divergência do princípio arm’s length</w:t>
      </w:r>
    </w:p>
    <w:p w14:paraId="600C0D4D" w14:textId="4D030BCB" w:rsidR="00743EEB" w:rsidRPr="00F072BB" w:rsidRDefault="00743EEB" w:rsidP="00743EEB">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Quando um </w:t>
      </w:r>
      <w:r w:rsidRPr="00F072BB">
        <w:rPr>
          <w:i/>
          <w:lang w:val="pt-BR"/>
        </w:rPr>
        <w:t>safe harbour</w:t>
      </w:r>
      <w:r w:rsidRPr="00F072BB">
        <w:rPr>
          <w:lang w:val="pt-BR"/>
        </w:rPr>
        <w:t xml:space="preserve"> oferece uma abordagem simplificada do preço de transferência, ele pode não corresponder em todos os casos ao método mais apropriado aplicável aos fatos e circunstâncias do contribuinte, de acordo com as disposições gerais do preço de transferência. Por exemplo, um </w:t>
      </w:r>
      <w:r w:rsidRPr="00F072BB">
        <w:rPr>
          <w:i/>
          <w:lang w:val="pt-BR"/>
        </w:rPr>
        <w:t>safe harbour</w:t>
      </w:r>
      <w:r w:rsidRPr="00F072BB">
        <w:rPr>
          <w:lang w:val="pt-BR"/>
        </w:rPr>
        <w:t xml:space="preserve"> pode exigir o uso de um método específico quando, de outra forma, o contribuinte possa ter determinado que outro método era o método mais apropriado de acordo com os fatos e as circunstâncias. Tal ocorrência pode ser considerada inconsistente com o princípio do </w:t>
      </w:r>
      <w:r w:rsidRPr="00F072BB">
        <w:rPr>
          <w:i/>
          <w:lang w:val="pt-BR"/>
        </w:rPr>
        <w:t>arm’s length</w:t>
      </w:r>
      <w:r w:rsidRPr="00F072BB">
        <w:rPr>
          <w:lang w:val="pt-BR"/>
        </w:rPr>
        <w:t>, que requer o uso do método mais apropriado.</w:t>
      </w:r>
    </w:p>
    <w:p w14:paraId="08E83800" w14:textId="244C30D0" w:rsidR="00402FA5" w:rsidRPr="00F072BB" w:rsidRDefault="00402FA5" w:rsidP="00895AE6">
      <w:pPr>
        <w:pStyle w:val="Num-DocParagraph"/>
        <w:numPr>
          <w:ilvl w:val="0"/>
          <w:numId w:val="13"/>
        </w:numPr>
        <w:tabs>
          <w:tab w:val="clear" w:pos="850"/>
          <w:tab w:val="clear" w:pos="1191"/>
          <w:tab w:val="left" w:pos="720"/>
          <w:tab w:val="left" w:pos="1560"/>
        </w:tabs>
        <w:ind w:right="556"/>
        <w:rPr>
          <w:lang w:val="pt-BR"/>
        </w:rPr>
      </w:pPr>
      <w:r w:rsidRPr="00F072BB">
        <w:rPr>
          <w:lang w:val="pt-BR"/>
        </w:rPr>
        <w:t xml:space="preserve">Os </w:t>
      </w:r>
      <w:r w:rsidRPr="00F072BB">
        <w:rPr>
          <w:i/>
          <w:lang w:val="pt-BR"/>
        </w:rPr>
        <w:t>Safe harbours</w:t>
      </w:r>
      <w:r w:rsidRPr="00F072BB">
        <w:rPr>
          <w:lang w:val="pt-BR"/>
        </w:rPr>
        <w:t xml:space="preserve"> envolvem uma troca entre a estrita conformidade com o princípio do </w:t>
      </w:r>
      <w:r w:rsidRPr="00F072BB">
        <w:rPr>
          <w:i/>
          <w:lang w:val="pt-BR"/>
        </w:rPr>
        <w:t>arm’s length</w:t>
      </w:r>
      <w:r w:rsidR="00895AE6" w:rsidRPr="00F072BB">
        <w:rPr>
          <w:lang w:val="pt-BR"/>
        </w:rPr>
        <w:t xml:space="preserve"> e ‘administrabilidade’</w:t>
      </w:r>
      <w:r w:rsidRPr="00F072BB">
        <w:rPr>
          <w:lang w:val="pt-BR"/>
        </w:rPr>
        <w:t xml:space="preserve">. Eles não são adaptados para atender exatamente aos diversos fatos e circunstâncias dos contribuintes e transações individuais. O grau de aproximação dos </w:t>
      </w:r>
      <w:r w:rsidR="00F45303" w:rsidRPr="00F072BB">
        <w:rPr>
          <w:lang w:val="pt-BR"/>
        </w:rPr>
        <w:t>preços determinado nos termos de</w:t>
      </w:r>
      <w:r w:rsidRPr="00F072BB">
        <w:rPr>
          <w:lang w:val="pt-BR"/>
        </w:rPr>
        <w:t xml:space="preserve"> um </w:t>
      </w:r>
      <w:r w:rsidR="00895AE6" w:rsidRPr="00F072BB">
        <w:rPr>
          <w:i/>
          <w:lang w:val="pt-BR"/>
        </w:rPr>
        <w:t>safe harbour</w:t>
      </w:r>
      <w:r w:rsidRPr="00F072BB">
        <w:rPr>
          <w:lang w:val="pt-BR"/>
        </w:rPr>
        <w:t xml:space="preserve"> com preços determinados de acordo com o princípio do </w:t>
      </w:r>
      <w:r w:rsidR="00895AE6" w:rsidRPr="00F072BB">
        <w:rPr>
          <w:i/>
          <w:lang w:val="pt-BR"/>
        </w:rPr>
        <w:t>arm’s le</w:t>
      </w:r>
      <w:r w:rsidR="00F45303" w:rsidRPr="00F072BB">
        <w:rPr>
          <w:i/>
          <w:lang w:val="pt-BR"/>
        </w:rPr>
        <w:t>ng</w:t>
      </w:r>
      <w:r w:rsidR="00895AE6" w:rsidRPr="00F072BB">
        <w:rPr>
          <w:i/>
          <w:lang w:val="pt-BR"/>
        </w:rPr>
        <w:t>th</w:t>
      </w:r>
      <w:r w:rsidRPr="00F072BB">
        <w:rPr>
          <w:lang w:val="pt-BR"/>
        </w:rPr>
        <w:t xml:space="preserve"> pode ser melhorado coletando, agrupando e atualizando frequentemente um conjunto de informações sobre preços e desenvolvimentos de preços em relação aos tipos relevantes de transações</w:t>
      </w:r>
      <w:r w:rsidR="00F45303" w:rsidRPr="00F072BB">
        <w:rPr>
          <w:lang w:val="pt-BR"/>
        </w:rPr>
        <w:t xml:space="preserve"> entre partes não controladas de</w:t>
      </w:r>
      <w:r w:rsidRPr="00F072BB">
        <w:rPr>
          <w:lang w:val="pt-BR"/>
        </w:rPr>
        <w:t xml:space="preserve"> natureza relevante. No entanto, </w:t>
      </w:r>
      <w:r w:rsidR="00F45303" w:rsidRPr="00F072BB">
        <w:rPr>
          <w:lang w:val="pt-BR"/>
        </w:rPr>
        <w:t>os</w:t>
      </w:r>
      <w:r w:rsidRPr="00F072BB">
        <w:rPr>
          <w:lang w:val="pt-BR"/>
        </w:rPr>
        <w:t xml:space="preserve"> esforços para definir parâmetros de </w:t>
      </w:r>
      <w:r w:rsidR="00895AE6" w:rsidRPr="00F072BB">
        <w:rPr>
          <w:i/>
          <w:lang w:val="pt-BR"/>
        </w:rPr>
        <w:t>safe harbour</w:t>
      </w:r>
      <w:r w:rsidR="00895AE6" w:rsidRPr="00F072BB">
        <w:rPr>
          <w:lang w:val="pt-BR"/>
        </w:rPr>
        <w:t xml:space="preserve"> com precisão suficiente para satisfazer o princípio do </w:t>
      </w:r>
      <w:r w:rsidR="00F45303" w:rsidRPr="00F072BB">
        <w:rPr>
          <w:i/>
          <w:lang w:val="pt-BR"/>
        </w:rPr>
        <w:t>arm’s length</w:t>
      </w:r>
      <w:r w:rsidR="00895AE6" w:rsidRPr="00F072BB">
        <w:rPr>
          <w:lang w:val="pt-BR"/>
        </w:rPr>
        <w:t xml:space="preserve"> pode</w:t>
      </w:r>
      <w:r w:rsidR="00F45303" w:rsidRPr="00F072BB">
        <w:rPr>
          <w:lang w:val="pt-BR"/>
        </w:rPr>
        <w:t>m</w:t>
      </w:r>
      <w:r w:rsidR="00895AE6" w:rsidRPr="00F072BB">
        <w:rPr>
          <w:lang w:val="pt-BR"/>
        </w:rPr>
        <w:t xml:space="preserve"> </w:t>
      </w:r>
      <w:r w:rsidR="00B73136" w:rsidRPr="00F072BB">
        <w:rPr>
          <w:lang w:val="pt-BR"/>
        </w:rPr>
        <w:t>minar</w:t>
      </w:r>
      <w:r w:rsidR="00895AE6" w:rsidRPr="00F072BB">
        <w:rPr>
          <w:lang w:val="pt-BR"/>
        </w:rPr>
        <w:t xml:space="preserve"> a simplicidade administrativa do </w:t>
      </w:r>
      <w:r w:rsidR="00895AE6" w:rsidRPr="00F072BB">
        <w:rPr>
          <w:i/>
          <w:lang w:val="pt-BR"/>
        </w:rPr>
        <w:t>safe harbour.</w:t>
      </w:r>
    </w:p>
    <w:p w14:paraId="65AB3013" w14:textId="5C78C501" w:rsidR="00743EEB" w:rsidRPr="00F072BB" w:rsidRDefault="00743EEB" w:rsidP="00743EEB">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Quaisquer potenciais desvantagens para os contribuintes </w:t>
      </w:r>
      <w:r w:rsidR="00D34CB9" w:rsidRPr="00F072BB">
        <w:rPr>
          <w:lang w:val="pt-BR"/>
        </w:rPr>
        <w:t xml:space="preserve">decorrentes </w:t>
      </w:r>
      <w:r w:rsidRPr="00F072BB">
        <w:rPr>
          <w:lang w:val="pt-BR"/>
        </w:rPr>
        <w:t xml:space="preserve">de </w:t>
      </w:r>
      <w:r w:rsidR="00D34CB9" w:rsidRPr="00F072BB">
        <w:rPr>
          <w:i/>
          <w:lang w:val="pt-BR"/>
        </w:rPr>
        <w:t>safe harbours</w:t>
      </w:r>
      <w:r w:rsidRPr="00F072BB">
        <w:rPr>
          <w:lang w:val="pt-BR"/>
        </w:rPr>
        <w:t xml:space="preserve"> </w:t>
      </w:r>
      <w:r w:rsidR="00D34CB9" w:rsidRPr="00F072BB">
        <w:rPr>
          <w:lang w:val="pt-BR"/>
        </w:rPr>
        <w:t xml:space="preserve">que divirjam </w:t>
      </w:r>
      <w:r w:rsidRPr="00F072BB">
        <w:rPr>
          <w:lang w:val="pt-BR"/>
        </w:rPr>
        <w:t xml:space="preserve">do preço </w:t>
      </w:r>
      <w:r w:rsidR="00D34CB9" w:rsidRPr="00F072BB">
        <w:rPr>
          <w:i/>
          <w:lang w:val="pt-BR"/>
        </w:rPr>
        <w:t>arm’s length</w:t>
      </w:r>
      <w:r w:rsidRPr="00F072BB">
        <w:rPr>
          <w:lang w:val="pt-BR"/>
        </w:rPr>
        <w:t xml:space="preserve"> são evitadas quando os contribuintes </w:t>
      </w:r>
      <w:r w:rsidR="00D34CB9" w:rsidRPr="00F072BB">
        <w:rPr>
          <w:lang w:val="pt-BR"/>
        </w:rPr>
        <w:t xml:space="preserve">podem </w:t>
      </w:r>
      <w:r w:rsidR="00D34CB9" w:rsidRPr="00F072BB">
        <w:rPr>
          <w:lang w:val="pt-BR"/>
        </w:rPr>
        <w:lastRenderedPageBreak/>
        <w:t>optar por</w:t>
      </w:r>
      <w:r w:rsidRPr="00F072BB">
        <w:rPr>
          <w:lang w:val="pt-BR"/>
        </w:rPr>
        <w:t xml:space="preserve"> eleger o </w:t>
      </w:r>
      <w:r w:rsidR="00D34CB9" w:rsidRPr="00F072BB">
        <w:rPr>
          <w:i/>
          <w:lang w:val="pt-BR"/>
        </w:rPr>
        <w:t>safe harbour</w:t>
      </w:r>
      <w:r w:rsidRPr="00F072BB">
        <w:rPr>
          <w:lang w:val="pt-BR"/>
        </w:rPr>
        <w:t xml:space="preserve"> ou </w:t>
      </w:r>
      <w:r w:rsidR="00D34CB9" w:rsidRPr="00F072BB">
        <w:rPr>
          <w:lang w:val="pt-BR"/>
        </w:rPr>
        <w:t xml:space="preserve">precificar </w:t>
      </w:r>
      <w:r w:rsidRPr="00F072BB">
        <w:rPr>
          <w:lang w:val="pt-BR"/>
        </w:rPr>
        <w:t xml:space="preserve">as transações de acordo com o </w:t>
      </w:r>
      <w:r w:rsidR="00D34CB9" w:rsidRPr="00F072BB">
        <w:rPr>
          <w:i/>
          <w:lang w:val="pt-BR"/>
        </w:rPr>
        <w:t>arm’s length</w:t>
      </w:r>
      <w:r w:rsidRPr="00F072BB">
        <w:rPr>
          <w:lang w:val="pt-BR"/>
        </w:rPr>
        <w:t xml:space="preserve">. Com essa abordagem, os contribuintes que acreditam que o </w:t>
      </w:r>
      <w:r w:rsidR="00D34CB9" w:rsidRPr="00F072BB">
        <w:rPr>
          <w:i/>
          <w:lang w:val="pt-BR"/>
        </w:rPr>
        <w:t>safe harbour</w:t>
      </w:r>
      <w:r w:rsidRPr="00F072BB">
        <w:rPr>
          <w:lang w:val="pt-BR"/>
        </w:rPr>
        <w:t xml:space="preserve"> exigiria que </w:t>
      </w:r>
      <w:r w:rsidR="00D34CB9" w:rsidRPr="00F072BB">
        <w:rPr>
          <w:lang w:val="pt-BR"/>
        </w:rPr>
        <w:t xml:space="preserve">fosse </w:t>
      </w:r>
      <w:r w:rsidR="007D1D3D" w:rsidRPr="00F072BB">
        <w:rPr>
          <w:lang w:val="pt-BR"/>
        </w:rPr>
        <w:t>declarado</w:t>
      </w:r>
      <w:r w:rsidRPr="00F072BB">
        <w:rPr>
          <w:lang w:val="pt-BR"/>
        </w:rPr>
        <w:t xml:space="preserve"> uma quantia de renda superior ao valor </w:t>
      </w:r>
      <w:r w:rsidR="00D34CB9" w:rsidRPr="00F072BB">
        <w:rPr>
          <w:i/>
          <w:lang w:val="pt-BR"/>
        </w:rPr>
        <w:t>arm’s length</w:t>
      </w:r>
      <w:r w:rsidRPr="00F072BB">
        <w:rPr>
          <w:lang w:val="pt-BR"/>
        </w:rPr>
        <w:t xml:space="preserve"> podem aplicar as regras gerais de preços de transferência. Embora essa abordagem possa limitar a divergência do preço </w:t>
      </w:r>
      <w:r w:rsidR="00D34CB9" w:rsidRPr="00F072BB">
        <w:rPr>
          <w:i/>
          <w:lang w:val="pt-BR"/>
        </w:rPr>
        <w:t>arm’s length</w:t>
      </w:r>
      <w:r w:rsidRPr="00F072BB">
        <w:rPr>
          <w:lang w:val="pt-BR"/>
        </w:rPr>
        <w:t xml:space="preserve"> sob um regime de </w:t>
      </w:r>
      <w:r w:rsidR="00D34CB9" w:rsidRPr="00F072BB">
        <w:rPr>
          <w:i/>
          <w:lang w:val="pt-BR"/>
        </w:rPr>
        <w:t>safe harbour</w:t>
      </w:r>
      <w:r w:rsidRPr="00F072BB">
        <w:rPr>
          <w:lang w:val="pt-BR"/>
        </w:rPr>
        <w:t xml:space="preserve">, também limitaria os benefícios administrativos do </w:t>
      </w:r>
      <w:r w:rsidR="00D34CB9" w:rsidRPr="00F072BB">
        <w:rPr>
          <w:i/>
          <w:lang w:val="pt-BR"/>
        </w:rPr>
        <w:t>safe harbour</w:t>
      </w:r>
      <w:r w:rsidRPr="00F072BB">
        <w:rPr>
          <w:lang w:val="pt-BR"/>
        </w:rPr>
        <w:t xml:space="preserve"> à administração tributária. Além disso, as administrações tributárias precisariam considerar a possível perda de receita tributária de tal abordagem, em que os contribuintes pagariam impostos apenas sobre o valor menor </w:t>
      </w:r>
      <w:r w:rsidR="00D34CB9" w:rsidRPr="00F072BB">
        <w:rPr>
          <w:lang w:val="pt-BR"/>
        </w:rPr>
        <w:t>dentre o</w:t>
      </w:r>
      <w:r w:rsidRPr="00F072BB">
        <w:rPr>
          <w:lang w:val="pt-BR"/>
        </w:rPr>
        <w:t xml:space="preserve"> valor do </w:t>
      </w:r>
      <w:r w:rsidR="00D34CB9" w:rsidRPr="00F072BB">
        <w:rPr>
          <w:i/>
          <w:lang w:val="pt-BR"/>
        </w:rPr>
        <w:t>safe harbour</w:t>
      </w:r>
      <w:r w:rsidRPr="00F072BB">
        <w:rPr>
          <w:lang w:val="pt-BR"/>
        </w:rPr>
        <w:t xml:space="preserve"> ou o valor </w:t>
      </w:r>
      <w:r w:rsidR="00D34CB9" w:rsidRPr="00F072BB">
        <w:rPr>
          <w:i/>
          <w:lang w:val="pt-BR"/>
        </w:rPr>
        <w:t>arm’s length</w:t>
      </w:r>
      <w:r w:rsidRPr="00F072BB">
        <w:rPr>
          <w:lang w:val="pt-BR"/>
        </w:rPr>
        <w:t xml:space="preserve">. Os países também podem estar preocupados com a capacidade dos contribuintes de entrar e sair de um </w:t>
      </w:r>
      <w:r w:rsidR="00D34CB9" w:rsidRPr="00F072BB">
        <w:rPr>
          <w:i/>
          <w:lang w:val="pt-BR"/>
        </w:rPr>
        <w:t>safe harbour</w:t>
      </w:r>
      <w:r w:rsidRPr="00F072BB">
        <w:rPr>
          <w:lang w:val="pt-BR"/>
        </w:rPr>
        <w:t xml:space="preserve">, dependendo se o uso do </w:t>
      </w:r>
      <w:r w:rsidR="00D34CB9" w:rsidRPr="00F072BB">
        <w:rPr>
          <w:i/>
          <w:lang w:val="pt-BR"/>
        </w:rPr>
        <w:t>safe harbour</w:t>
      </w:r>
      <w:r w:rsidRPr="00F072BB">
        <w:rPr>
          <w:lang w:val="pt-BR"/>
        </w:rPr>
        <w:t xml:space="preserve"> é favorável ao contribuinte em um determinado ano. Os países podem obter maior </w:t>
      </w:r>
      <w:r w:rsidR="007D1D3D" w:rsidRPr="00F072BB">
        <w:rPr>
          <w:lang w:val="pt-BR"/>
        </w:rPr>
        <w:t>segurança</w:t>
      </w:r>
      <w:r w:rsidRPr="00F072BB">
        <w:rPr>
          <w:lang w:val="pt-BR"/>
        </w:rPr>
        <w:t xml:space="preserve"> com relação a esse risco, controlando as condições sob as quais um contribuinte pode ser elegível para o </w:t>
      </w:r>
      <w:r w:rsidR="00D34CB9" w:rsidRPr="00F072BB">
        <w:rPr>
          <w:i/>
          <w:lang w:val="pt-BR"/>
        </w:rPr>
        <w:t>safe harbour</w:t>
      </w:r>
      <w:r w:rsidRPr="00F072BB">
        <w:rPr>
          <w:lang w:val="pt-BR"/>
        </w:rPr>
        <w:t xml:space="preserve">, por exemplo, exigindo que os contribuintes notifiquem a autoridade tributária antes de usar o </w:t>
      </w:r>
      <w:r w:rsidR="00D34CB9" w:rsidRPr="00F072BB">
        <w:rPr>
          <w:i/>
          <w:lang w:val="pt-BR"/>
        </w:rPr>
        <w:t>safe harbour</w:t>
      </w:r>
      <w:r w:rsidRPr="00F072BB">
        <w:rPr>
          <w:lang w:val="pt-BR"/>
        </w:rPr>
        <w:t xml:space="preserve"> ou se comprometam com seu uso por um certo número de anos.</w:t>
      </w:r>
    </w:p>
    <w:p w14:paraId="22D4A595" w14:textId="3E08CB66" w:rsidR="006104F1" w:rsidRPr="00F072BB" w:rsidRDefault="007D1D3D" w:rsidP="00CD7DFE">
      <w:pPr>
        <w:pStyle w:val="Num-DocParagraph"/>
        <w:keepNext/>
        <w:numPr>
          <w:ilvl w:val="0"/>
          <w:numId w:val="16"/>
        </w:numPr>
        <w:tabs>
          <w:tab w:val="clear" w:pos="850"/>
          <w:tab w:val="left" w:pos="720"/>
        </w:tabs>
        <w:ind w:right="521"/>
        <w:rPr>
          <w:b/>
          <w:i/>
          <w:lang w:val="pt-BR"/>
        </w:rPr>
      </w:pPr>
      <w:r w:rsidRPr="00F072BB">
        <w:rPr>
          <w:b/>
          <w:i/>
          <w:lang w:val="pt-BR"/>
        </w:rPr>
        <w:t>Risco de dupla tributação, dupla não tributação, e preocupações com procedimento amigável</w:t>
      </w:r>
    </w:p>
    <w:p w14:paraId="6AF4FBB8" w14:textId="77777777" w:rsidR="00517935" w:rsidRPr="00F072BB" w:rsidRDefault="007D1D3D" w:rsidP="00517935">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Uma grande preocupação criada por um </w:t>
      </w:r>
      <w:r w:rsidRPr="00F072BB">
        <w:rPr>
          <w:i/>
          <w:lang w:val="pt-BR"/>
        </w:rPr>
        <w:t>safe harbour</w:t>
      </w:r>
      <w:r w:rsidRPr="00F072BB">
        <w:rPr>
          <w:lang w:val="pt-BR"/>
        </w:rPr>
        <w:t xml:space="preserve"> é que ele pode aumentar o risco de dupla tributação. Se uma administração tributária definir parâmetros de </w:t>
      </w:r>
      <w:r w:rsidRPr="00F072BB">
        <w:rPr>
          <w:i/>
          <w:lang w:val="pt-BR"/>
        </w:rPr>
        <w:t>safe harbour</w:t>
      </w:r>
      <w:r w:rsidRPr="00F072BB">
        <w:rPr>
          <w:lang w:val="pt-BR"/>
        </w:rPr>
        <w:t xml:space="preserve"> em níveis acima ou abaixo do preço </w:t>
      </w:r>
      <w:r w:rsidRPr="00F072BB">
        <w:rPr>
          <w:i/>
          <w:lang w:val="pt-BR"/>
        </w:rPr>
        <w:t>arm’s length</w:t>
      </w:r>
      <w:r w:rsidRPr="00F072BB">
        <w:rPr>
          <w:lang w:val="pt-BR"/>
        </w:rPr>
        <w:t xml:space="preserve">, a fim de aumentar os lucros declarados em seu país, poderá induzir os contribuintes a modificar os preços que, de outra forma, teriam sido cobrados ou pagos a partes controladas, a fim de evitar o controle dos preços de transferência no país do </w:t>
      </w:r>
      <w:r w:rsidRPr="00F072BB">
        <w:rPr>
          <w:i/>
          <w:lang w:val="pt-BR"/>
        </w:rPr>
        <w:t>safe harbour</w:t>
      </w:r>
      <w:r w:rsidRPr="00F072BB">
        <w:rPr>
          <w:lang w:val="pt-BR"/>
        </w:rPr>
        <w:t xml:space="preserve">. A preocupação com a possibilidade de </w:t>
      </w:r>
      <w:r w:rsidR="00517935" w:rsidRPr="00F072BB">
        <w:rPr>
          <w:lang w:val="pt-BR"/>
        </w:rPr>
        <w:t xml:space="preserve">declaração em </w:t>
      </w:r>
      <w:r w:rsidRPr="00F072BB">
        <w:rPr>
          <w:lang w:val="pt-BR"/>
        </w:rPr>
        <w:t xml:space="preserve">excesso da renda tributável no país que fornece o </w:t>
      </w:r>
      <w:r w:rsidR="00517935" w:rsidRPr="00F072BB">
        <w:rPr>
          <w:i/>
          <w:lang w:val="pt-BR"/>
        </w:rPr>
        <w:t>safe harbour</w:t>
      </w:r>
      <w:r w:rsidRPr="00F072BB">
        <w:rPr>
          <w:lang w:val="pt-BR"/>
        </w:rPr>
        <w:t xml:space="preserve"> é maior quando o país impõe multas significativas por subavaliação do imposto ou por não atender aos requisitos da documentação, com o resultado de que podem ser adicionados incenti</w:t>
      </w:r>
      <w:r w:rsidR="00517935" w:rsidRPr="00F072BB">
        <w:rPr>
          <w:lang w:val="pt-BR"/>
        </w:rPr>
        <w:t>vos para garantir que o preço de</w:t>
      </w:r>
      <w:r w:rsidRPr="00F072BB">
        <w:rPr>
          <w:lang w:val="pt-BR"/>
        </w:rPr>
        <w:t xml:space="preserve"> transferência seja aceito ness</w:t>
      </w:r>
      <w:r w:rsidR="00517935" w:rsidRPr="00F072BB">
        <w:rPr>
          <w:lang w:val="pt-BR"/>
        </w:rPr>
        <w:t>e país sem revisão adicional.</w:t>
      </w:r>
    </w:p>
    <w:p w14:paraId="071B9013" w14:textId="6CD80610" w:rsidR="00517935" w:rsidRPr="00F072BB" w:rsidRDefault="00517935" w:rsidP="00517935">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Se o </w:t>
      </w:r>
      <w:r w:rsidRPr="00F072BB">
        <w:rPr>
          <w:i/>
          <w:lang w:val="pt-BR"/>
        </w:rPr>
        <w:t>safe harbour</w:t>
      </w:r>
      <w:r w:rsidRPr="00F072BB">
        <w:rPr>
          <w:lang w:val="pt-BR"/>
        </w:rPr>
        <w:t xml:space="preserve"> levar os contribuintes a relatarem renda acima do nível do </w:t>
      </w:r>
      <w:r w:rsidRPr="00F072BB">
        <w:rPr>
          <w:i/>
          <w:lang w:val="pt-BR"/>
        </w:rPr>
        <w:t>arm’s length</w:t>
      </w:r>
      <w:r w:rsidRPr="00F072BB">
        <w:rPr>
          <w:lang w:val="pt-BR"/>
        </w:rPr>
        <w:t xml:space="preserve">, isso funcionaria em benefício da administração tributária que aplica o </w:t>
      </w:r>
      <w:r w:rsidRPr="00F072BB">
        <w:rPr>
          <w:i/>
          <w:lang w:val="pt-BR"/>
        </w:rPr>
        <w:t>safe harbour</w:t>
      </w:r>
      <w:r w:rsidRPr="00F072BB">
        <w:rPr>
          <w:lang w:val="pt-BR"/>
        </w:rPr>
        <w:t xml:space="preserve">, pois mais renda tributável seria declarada por esses contribuintes domiciliados naquele país. Por outro lado, o </w:t>
      </w:r>
      <w:r w:rsidRPr="00F072BB">
        <w:rPr>
          <w:i/>
          <w:lang w:val="pt-BR"/>
        </w:rPr>
        <w:t>safe harbour</w:t>
      </w:r>
      <w:r w:rsidR="003D0BB8" w:rsidRPr="00F072BB">
        <w:rPr>
          <w:lang w:val="pt-BR"/>
        </w:rPr>
        <w:t xml:space="preserve"> pode resultar em</w:t>
      </w:r>
      <w:r w:rsidRPr="00F072BB">
        <w:rPr>
          <w:lang w:val="pt-BR"/>
        </w:rPr>
        <w:t xml:space="preserve"> uma menor </w:t>
      </w:r>
      <w:r w:rsidR="003D0BB8" w:rsidRPr="00F072BB">
        <w:rPr>
          <w:lang w:val="pt-BR"/>
        </w:rPr>
        <w:t>receita tributável sendo declara</w:t>
      </w:r>
      <w:r w:rsidRPr="00F072BB">
        <w:rPr>
          <w:lang w:val="pt-BR"/>
        </w:rPr>
        <w:t xml:space="preserve"> na jurisdição fiscal da empresa associada estrangeira que é a outra parte da transação. As outras administrações tributárias podem contestar os preços derivados da aplicação de um </w:t>
      </w:r>
      <w:r w:rsidRPr="00F072BB">
        <w:rPr>
          <w:i/>
          <w:lang w:val="pt-BR"/>
        </w:rPr>
        <w:t>safe harbour</w:t>
      </w:r>
      <w:r w:rsidRPr="00F072BB">
        <w:rPr>
          <w:lang w:val="pt-BR"/>
        </w:rPr>
        <w:t xml:space="preserve">, com o resultado de que o contribuinte enfrentaria a perspectiva de dupla tributação. Consequentemente, quaisquer benefícios administrativos obtidos pela administração tributária do país de </w:t>
      </w:r>
      <w:r w:rsidRPr="00F072BB">
        <w:rPr>
          <w:i/>
          <w:lang w:val="pt-BR"/>
        </w:rPr>
        <w:t>safe harbour</w:t>
      </w:r>
      <w:r w:rsidRPr="00F072BB">
        <w:rPr>
          <w:lang w:val="pt-BR"/>
        </w:rPr>
        <w:t xml:space="preserve"> seriam potencialmente obtidos às custas de outros países que, a fim de proteger sua própria base tributária, teriam que determinar sistematicamente se os preços ou resultados permitidos sob o </w:t>
      </w:r>
      <w:r w:rsidRPr="00F072BB">
        <w:rPr>
          <w:i/>
          <w:lang w:val="pt-BR"/>
        </w:rPr>
        <w:t>safe harbour</w:t>
      </w:r>
      <w:r w:rsidRPr="00F072BB">
        <w:rPr>
          <w:lang w:val="pt-BR"/>
        </w:rPr>
        <w:t xml:space="preserve"> são consistentes com o que seria obtido com a aplicação de suas próprias regras de preços de transferência. Os encargos administrativos economizados pelo país que oferece o </w:t>
      </w:r>
      <w:r w:rsidRPr="00F072BB">
        <w:rPr>
          <w:i/>
          <w:lang w:val="pt-BR"/>
        </w:rPr>
        <w:t>safe harbour</w:t>
      </w:r>
      <w:r w:rsidRPr="00F072BB">
        <w:rPr>
          <w:lang w:val="pt-BR"/>
        </w:rPr>
        <w:t xml:space="preserve"> seriam, portanto, transferidos para as jurisdições estrangeiras.</w:t>
      </w:r>
    </w:p>
    <w:p w14:paraId="78A290DB" w14:textId="77777777" w:rsidR="004C15D1" w:rsidRPr="00F072BB" w:rsidRDefault="00517935" w:rsidP="004C15D1">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Nos casos de contribuintes menores ou transações menos complexas, os benefícios de </w:t>
      </w:r>
      <w:r w:rsidRPr="00F072BB">
        <w:rPr>
          <w:i/>
          <w:lang w:val="pt-BR"/>
        </w:rPr>
        <w:t>safe harbours</w:t>
      </w:r>
      <w:r w:rsidRPr="00F072BB">
        <w:rPr>
          <w:lang w:val="pt-BR"/>
        </w:rPr>
        <w:t xml:space="preserve"> podem superar os problemas criados por essas disposições. Desde que o </w:t>
      </w:r>
      <w:r w:rsidRPr="00F072BB">
        <w:rPr>
          <w:i/>
          <w:lang w:val="pt-BR"/>
        </w:rPr>
        <w:t>safe harbour</w:t>
      </w:r>
      <w:r w:rsidRPr="00F072BB">
        <w:rPr>
          <w:lang w:val="pt-BR"/>
        </w:rPr>
        <w:t xml:space="preserve"> seja eletivo, os contribuintes podem considerar que um nível moderado de dupla tributação, </w:t>
      </w:r>
      <w:r w:rsidR="004C15D1" w:rsidRPr="00F072BB">
        <w:rPr>
          <w:lang w:val="pt-BR"/>
        </w:rPr>
        <w:t>caso</w:t>
      </w:r>
      <w:r w:rsidRPr="00F072BB">
        <w:rPr>
          <w:lang w:val="pt-BR"/>
        </w:rPr>
        <w:t xml:space="preserve"> </w:t>
      </w:r>
      <w:r w:rsidR="004C15D1" w:rsidRPr="00F072BB">
        <w:rPr>
          <w:lang w:val="pt-BR"/>
        </w:rPr>
        <w:t>haja</w:t>
      </w:r>
      <w:r w:rsidRPr="00F072BB">
        <w:rPr>
          <w:lang w:val="pt-BR"/>
        </w:rPr>
        <w:t xml:space="preserve"> algum</w:t>
      </w:r>
      <w:r w:rsidR="004C15D1" w:rsidRPr="00F072BB">
        <w:rPr>
          <w:lang w:val="pt-BR"/>
        </w:rPr>
        <w:t>a</w:t>
      </w:r>
      <w:r w:rsidRPr="00F072BB">
        <w:rPr>
          <w:lang w:val="pt-BR"/>
        </w:rPr>
        <w:t xml:space="preserve"> </w:t>
      </w:r>
      <w:r w:rsidR="004C15D1" w:rsidRPr="00F072BB">
        <w:rPr>
          <w:lang w:val="pt-BR"/>
        </w:rPr>
        <w:t>como</w:t>
      </w:r>
      <w:r w:rsidRPr="00F072BB">
        <w:rPr>
          <w:lang w:val="pt-BR"/>
        </w:rPr>
        <w:t xml:space="preserve"> causa do </w:t>
      </w:r>
      <w:r w:rsidR="004C15D1" w:rsidRPr="00F072BB">
        <w:rPr>
          <w:i/>
          <w:lang w:val="pt-BR"/>
        </w:rPr>
        <w:t>safe harbour</w:t>
      </w:r>
      <w:r w:rsidRPr="00F072BB">
        <w:rPr>
          <w:lang w:val="pt-BR"/>
        </w:rPr>
        <w:t xml:space="preserve">, é um preço aceitável a ser pago para obter alívio da necessidade de cumprir regras complexas de preços de transferência. Pode-se argumentar que o contribuinte é capaz de tomar sua própria decisão ao eleger o </w:t>
      </w:r>
      <w:r w:rsidR="004C15D1" w:rsidRPr="00F072BB">
        <w:rPr>
          <w:i/>
          <w:lang w:val="pt-BR"/>
        </w:rPr>
        <w:t>safe harbour</w:t>
      </w:r>
      <w:r w:rsidRPr="00F072BB">
        <w:rPr>
          <w:lang w:val="pt-BR"/>
        </w:rPr>
        <w:t xml:space="preserve"> </w:t>
      </w:r>
      <w:r w:rsidR="004C15D1" w:rsidRPr="00F072BB">
        <w:rPr>
          <w:lang w:val="pt-BR"/>
        </w:rPr>
        <w:t>e determinar</w:t>
      </w:r>
      <w:r w:rsidRPr="00F072BB">
        <w:rPr>
          <w:lang w:val="pt-BR"/>
        </w:rPr>
        <w:t xml:space="preserve"> se a possibilidade de dupla tributação é aceitável ou não.</w:t>
      </w:r>
    </w:p>
    <w:p w14:paraId="379276A1" w14:textId="435294CF" w:rsidR="007636ED" w:rsidRPr="00F072BB" w:rsidRDefault="004C15D1" w:rsidP="007636ED">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lastRenderedPageBreak/>
        <w:t xml:space="preserve">Onde os </w:t>
      </w:r>
      <w:r w:rsidRPr="00F072BB">
        <w:rPr>
          <w:i/>
          <w:lang w:val="pt-BR"/>
        </w:rPr>
        <w:t>safe harbours</w:t>
      </w:r>
      <w:r w:rsidRPr="00F072BB">
        <w:rPr>
          <w:lang w:val="pt-BR"/>
        </w:rPr>
        <w:t xml:space="preserve"> são adotados de forma unilateral, deve-se ter cautela na definição de parâmetros do </w:t>
      </w:r>
      <w:r w:rsidRPr="00F072BB">
        <w:rPr>
          <w:i/>
          <w:lang w:val="pt-BR"/>
        </w:rPr>
        <w:t>safe harbour</w:t>
      </w:r>
      <w:r w:rsidRPr="00F072BB">
        <w:rPr>
          <w:lang w:val="pt-BR"/>
        </w:rPr>
        <w:t xml:space="preserve"> para evitar a dupla tributação, e o país que adota o </w:t>
      </w:r>
      <w:r w:rsidRPr="00F072BB">
        <w:rPr>
          <w:i/>
          <w:lang w:val="pt-BR"/>
        </w:rPr>
        <w:t>safe harbour</w:t>
      </w:r>
      <w:r w:rsidRPr="00F072BB">
        <w:rPr>
          <w:lang w:val="pt-BR"/>
        </w:rPr>
        <w:t xml:space="preserve"> deve geralmente estar preparado para considerar a modificação do resultado do </w:t>
      </w:r>
      <w:r w:rsidRPr="00F072BB">
        <w:rPr>
          <w:i/>
          <w:lang w:val="pt-BR"/>
        </w:rPr>
        <w:t>safe harbour</w:t>
      </w:r>
      <w:r w:rsidRPr="00F072BB">
        <w:rPr>
          <w:lang w:val="pt-BR"/>
        </w:rPr>
        <w:t xml:space="preserve"> em casos individuais, </w:t>
      </w:r>
      <w:r w:rsidR="003C4EE2" w:rsidRPr="00F072BB">
        <w:rPr>
          <w:lang w:val="pt-BR"/>
        </w:rPr>
        <w:t>sob o procedimento</w:t>
      </w:r>
      <w:r w:rsidRPr="00F072BB">
        <w:rPr>
          <w:lang w:val="pt-BR"/>
        </w:rPr>
        <w:t xml:space="preserve"> </w:t>
      </w:r>
      <w:r w:rsidR="003C4EE2" w:rsidRPr="00F072BB">
        <w:rPr>
          <w:lang w:val="pt-BR"/>
        </w:rPr>
        <w:t>amigável</w:t>
      </w:r>
      <w:r w:rsidRPr="00F072BB">
        <w:rPr>
          <w:lang w:val="pt-BR"/>
        </w:rPr>
        <w:t xml:space="preserve"> </w:t>
      </w:r>
      <w:r w:rsidR="003C4EE2" w:rsidRPr="00F072BB">
        <w:rPr>
          <w:lang w:val="pt-BR"/>
        </w:rPr>
        <w:t xml:space="preserve">para </w:t>
      </w:r>
      <w:r w:rsidRPr="00F072BB">
        <w:rPr>
          <w:lang w:val="pt-BR"/>
        </w:rPr>
        <w:t xml:space="preserve">atenuar o risco de dupla tributação. No mínimo, para garantir que os contribuintes tomem decisões de maneira totalmente informada, o país que oferece o </w:t>
      </w:r>
      <w:r w:rsidR="003C4EE2" w:rsidRPr="00F072BB">
        <w:rPr>
          <w:i/>
          <w:lang w:val="pt-BR"/>
        </w:rPr>
        <w:t>safe harbour</w:t>
      </w:r>
      <w:r w:rsidRPr="00F072BB">
        <w:rPr>
          <w:lang w:val="pt-BR"/>
        </w:rPr>
        <w:t xml:space="preserve"> precisaria explicitar antecipadamente se tentaria ou não aliviar qualquer eventual dupla tributação resultante do </w:t>
      </w:r>
      <w:r w:rsidR="003C4EE2" w:rsidRPr="00F072BB">
        <w:rPr>
          <w:lang w:val="pt-BR"/>
        </w:rPr>
        <w:t>uso do</w:t>
      </w:r>
      <w:r w:rsidRPr="00F072BB">
        <w:rPr>
          <w:lang w:val="pt-BR"/>
        </w:rPr>
        <w:t xml:space="preserve"> </w:t>
      </w:r>
      <w:r w:rsidR="003C4EE2" w:rsidRPr="00F072BB">
        <w:rPr>
          <w:i/>
          <w:lang w:val="pt-BR"/>
        </w:rPr>
        <w:t>safe harbour</w:t>
      </w:r>
      <w:r w:rsidRPr="00F072BB">
        <w:rPr>
          <w:lang w:val="pt-BR"/>
        </w:rPr>
        <w:t xml:space="preserve">. Obviamente, se um </w:t>
      </w:r>
      <w:r w:rsidR="00330519" w:rsidRPr="00F072BB">
        <w:rPr>
          <w:i/>
          <w:lang w:val="pt-BR"/>
        </w:rPr>
        <w:t>safe harbour</w:t>
      </w:r>
      <w:r w:rsidRPr="00F072BB">
        <w:rPr>
          <w:lang w:val="pt-BR"/>
        </w:rPr>
        <w:t xml:space="preserve"> não for eletivo e se o país em questão se re</w:t>
      </w:r>
      <w:r w:rsidR="003C4EE2" w:rsidRPr="00F072BB">
        <w:rPr>
          <w:lang w:val="pt-BR"/>
        </w:rPr>
        <w:t>cusar a considerar um alívio da dupla tributação</w:t>
      </w:r>
      <w:r w:rsidRPr="00F072BB">
        <w:rPr>
          <w:lang w:val="pt-BR"/>
        </w:rPr>
        <w:t xml:space="preserve">, o risco de dupla tributação resultante do </w:t>
      </w:r>
      <w:r w:rsidR="003C4EE2" w:rsidRPr="00F072BB">
        <w:rPr>
          <w:i/>
          <w:lang w:val="pt-BR"/>
        </w:rPr>
        <w:t>safe harbour</w:t>
      </w:r>
      <w:r w:rsidRPr="00F072BB">
        <w:rPr>
          <w:lang w:val="pt-BR"/>
        </w:rPr>
        <w:t xml:space="preserve"> seria inaceitavelmente alto e inc</w:t>
      </w:r>
      <w:r w:rsidR="007636ED" w:rsidRPr="00F072BB">
        <w:rPr>
          <w:lang w:val="pt-BR"/>
        </w:rPr>
        <w:t>onsistente com as disposições dos acordos para evitar a dupla tributação</w:t>
      </w:r>
      <w:r w:rsidRPr="00F072BB">
        <w:rPr>
          <w:lang w:val="pt-BR"/>
        </w:rPr>
        <w:t>.</w:t>
      </w:r>
    </w:p>
    <w:p w14:paraId="4ABF078C" w14:textId="25108C69" w:rsidR="009A3B11" w:rsidRPr="00F072BB" w:rsidRDefault="007636ED" w:rsidP="009A3B11">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Por outro lado, se um </w:t>
      </w:r>
      <w:r w:rsidRPr="00F072BB">
        <w:rPr>
          <w:i/>
          <w:lang w:val="pt-BR"/>
        </w:rPr>
        <w:t>safe harbour</w:t>
      </w:r>
      <w:r w:rsidRPr="00F072BB">
        <w:rPr>
          <w:lang w:val="pt-BR"/>
        </w:rPr>
        <w:t xml:space="preserve"> unilateral permitir que os contribuintes declarem renda abaixo do nível </w:t>
      </w:r>
      <w:r w:rsidRPr="00F072BB">
        <w:rPr>
          <w:i/>
          <w:lang w:val="pt-BR"/>
        </w:rPr>
        <w:t>arm’s length</w:t>
      </w:r>
      <w:r w:rsidRPr="00F072BB">
        <w:rPr>
          <w:lang w:val="pt-BR"/>
        </w:rPr>
        <w:t xml:space="preserve"> no país que fornece o </w:t>
      </w:r>
      <w:r w:rsidRPr="00F072BB">
        <w:rPr>
          <w:i/>
          <w:lang w:val="pt-BR"/>
        </w:rPr>
        <w:t>safe harbour</w:t>
      </w:r>
      <w:r w:rsidRPr="00F072BB">
        <w:rPr>
          <w:lang w:val="pt-BR"/>
        </w:rPr>
        <w:t xml:space="preserve">, os contribuintes teriam um incentivo para eleger a aplicação do </w:t>
      </w:r>
      <w:r w:rsidRPr="00F072BB">
        <w:rPr>
          <w:i/>
          <w:lang w:val="pt-BR"/>
        </w:rPr>
        <w:t>safe harbour</w:t>
      </w:r>
      <w:r w:rsidRPr="00F072BB">
        <w:rPr>
          <w:lang w:val="pt-BR"/>
        </w:rPr>
        <w:t xml:space="preserve">. Nesse caso, não haveria garantia de que o contribuinte declararia renda em outros países de forma consistente ou em níveis acima do nível </w:t>
      </w:r>
      <w:r w:rsidR="009A3B11" w:rsidRPr="00F072BB">
        <w:rPr>
          <w:i/>
          <w:lang w:val="pt-BR"/>
        </w:rPr>
        <w:t>arm’s length</w:t>
      </w:r>
      <w:r w:rsidRPr="00F072BB">
        <w:rPr>
          <w:lang w:val="pt-BR"/>
        </w:rPr>
        <w:t xml:space="preserve">, com base no </w:t>
      </w:r>
      <w:r w:rsidR="009A3B11" w:rsidRPr="00F072BB">
        <w:rPr>
          <w:i/>
          <w:lang w:val="pt-BR"/>
        </w:rPr>
        <w:t>safe harbour</w:t>
      </w:r>
      <w:r w:rsidRPr="00F072BB">
        <w:rPr>
          <w:lang w:val="pt-BR"/>
        </w:rPr>
        <w:t xml:space="preserve">. Além disso, é improvável que outras administrações tributárias tenham autoridade para exigir que a renda seja </w:t>
      </w:r>
      <w:r w:rsidR="009A3B11" w:rsidRPr="00F072BB">
        <w:rPr>
          <w:lang w:val="pt-BR"/>
        </w:rPr>
        <w:t>declarada</w:t>
      </w:r>
      <w:r w:rsidRPr="00F072BB">
        <w:rPr>
          <w:lang w:val="pt-BR"/>
        </w:rPr>
        <w:t xml:space="preserve"> acima do nível </w:t>
      </w:r>
      <w:r w:rsidR="009A3B11" w:rsidRPr="00F072BB">
        <w:rPr>
          <w:i/>
          <w:lang w:val="pt-BR"/>
        </w:rPr>
        <w:t>arm’s length</w:t>
      </w:r>
      <w:r w:rsidR="009A3B11" w:rsidRPr="00F072BB">
        <w:rPr>
          <w:lang w:val="pt-BR"/>
        </w:rPr>
        <w:t>. Embora o ônus da sub</w:t>
      </w:r>
      <w:r w:rsidRPr="00F072BB">
        <w:rPr>
          <w:lang w:val="pt-BR"/>
        </w:rPr>
        <w:t xml:space="preserve">tributação em tais situações recaia exclusivamente sobre o país que adota a </w:t>
      </w:r>
      <w:r w:rsidR="009A3B11" w:rsidRPr="00F072BB">
        <w:rPr>
          <w:lang w:val="pt-BR"/>
        </w:rPr>
        <w:t>disposição</w:t>
      </w:r>
      <w:r w:rsidRPr="00F072BB">
        <w:rPr>
          <w:lang w:val="pt-BR"/>
        </w:rPr>
        <w:t xml:space="preserve"> de </w:t>
      </w:r>
      <w:r w:rsidR="009A3B11" w:rsidRPr="00F072BB">
        <w:rPr>
          <w:lang w:val="pt-BR"/>
        </w:rPr>
        <w:t>safe harbour</w:t>
      </w:r>
      <w:r w:rsidRPr="00F072BB">
        <w:rPr>
          <w:lang w:val="pt-BR"/>
        </w:rPr>
        <w:t xml:space="preserve"> e não deva afetar adversamente a capacidade de outros países de tributar as quantias de renda </w:t>
      </w:r>
      <w:r w:rsidR="009A3B11" w:rsidRPr="00F072BB">
        <w:rPr>
          <w:i/>
          <w:lang w:val="pt-BR"/>
        </w:rPr>
        <w:t>arm’s length</w:t>
      </w:r>
      <w:r w:rsidRPr="00F072BB">
        <w:rPr>
          <w:lang w:val="pt-BR"/>
        </w:rPr>
        <w:t xml:space="preserve">, </w:t>
      </w:r>
      <w:r w:rsidR="009A3B11" w:rsidRPr="00F072BB">
        <w:rPr>
          <w:lang w:val="pt-BR"/>
        </w:rPr>
        <w:t xml:space="preserve">a </w:t>
      </w:r>
      <w:r w:rsidR="003D0BB8" w:rsidRPr="00F072BB">
        <w:rPr>
          <w:lang w:val="pt-BR"/>
        </w:rPr>
        <w:t>dupla</w:t>
      </w:r>
      <w:r w:rsidR="009A3B11" w:rsidRPr="00F072BB">
        <w:rPr>
          <w:lang w:val="pt-BR"/>
        </w:rPr>
        <w:t xml:space="preserve"> tributação </w:t>
      </w:r>
      <w:r w:rsidRPr="00F072BB">
        <w:rPr>
          <w:lang w:val="pt-BR"/>
        </w:rPr>
        <w:t>seria inevitável e poderia resultar em distorções de investimento e comércio.</w:t>
      </w:r>
    </w:p>
    <w:p w14:paraId="303A0282" w14:textId="6DC61845" w:rsidR="009A3B11" w:rsidRPr="00F072BB" w:rsidRDefault="009A3B11" w:rsidP="009A3B11">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É importante observar que os problemas de resultados distantes do </w:t>
      </w:r>
      <w:r w:rsidRPr="00F072BB">
        <w:rPr>
          <w:i/>
          <w:lang w:val="pt-BR"/>
        </w:rPr>
        <w:t>arm’s length</w:t>
      </w:r>
      <w:r w:rsidRPr="00F072BB">
        <w:rPr>
          <w:lang w:val="pt-BR"/>
        </w:rPr>
        <w:t xml:space="preserve"> e potencial dupla tributação e dupla não tributação decorrentes de </w:t>
      </w:r>
      <w:r w:rsidR="00AA6726" w:rsidRPr="00F072BB">
        <w:rPr>
          <w:i/>
          <w:lang w:val="pt-BR"/>
        </w:rPr>
        <w:t>safe harbours</w:t>
      </w:r>
      <w:r w:rsidRPr="00F072BB">
        <w:rPr>
          <w:lang w:val="pt-BR"/>
        </w:rPr>
        <w:t xml:space="preserve"> poderiam ser amplamente eliminados se os </w:t>
      </w:r>
      <w:r w:rsidR="00AA6726" w:rsidRPr="00F072BB">
        <w:rPr>
          <w:i/>
          <w:lang w:val="pt-BR"/>
        </w:rPr>
        <w:t>safe harbours</w:t>
      </w:r>
      <w:r w:rsidRPr="00F072BB">
        <w:rPr>
          <w:lang w:val="pt-BR"/>
        </w:rPr>
        <w:t xml:space="preserve"> fossem adotados em uma base bilateral ou multilateral por meio de acordos de autoridade competente entre países. De acordo com esse procedimento, dois ou mais países poderiam, por acordo, definir uma</w:t>
      </w:r>
      <w:r w:rsidR="0078381C" w:rsidRPr="00F072BB">
        <w:rPr>
          <w:lang w:val="pt-BR"/>
        </w:rPr>
        <w:t xml:space="preserve"> categoria de contribuintes e/</w:t>
      </w:r>
      <w:r w:rsidRPr="00F072BB">
        <w:rPr>
          <w:lang w:val="pt-BR"/>
        </w:rPr>
        <w:t xml:space="preserve">ou transações às quais uma cláusula de </w:t>
      </w:r>
      <w:r w:rsidR="0078381C" w:rsidRPr="00F072BB">
        <w:rPr>
          <w:i/>
          <w:lang w:val="pt-BR"/>
        </w:rPr>
        <w:t>safe harbour</w:t>
      </w:r>
      <w:r w:rsidR="0078381C" w:rsidRPr="00F072BB">
        <w:rPr>
          <w:lang w:val="pt-BR"/>
        </w:rPr>
        <w:t xml:space="preserve"> seria aplicada e </w:t>
      </w:r>
      <w:r w:rsidRPr="00F072BB">
        <w:rPr>
          <w:lang w:val="pt-BR"/>
        </w:rPr>
        <w:t xml:space="preserve">estabelecer parâmetros de preços que seriam aceitos por cada um dos países contratantes se aplicados de maneira consistente em cada um dos países. Tais acordos podem ser publicados com antecedência e os contribuintes podem reportar resultados </w:t>
      </w:r>
      <w:r w:rsidR="0078381C" w:rsidRPr="00F072BB">
        <w:rPr>
          <w:lang w:val="pt-BR"/>
        </w:rPr>
        <w:t>de forma consistente</w:t>
      </w:r>
      <w:r w:rsidRPr="00F072BB">
        <w:rPr>
          <w:lang w:val="pt-BR"/>
        </w:rPr>
        <w:t xml:space="preserve"> em cada um dos países afetados, de acordo com o </w:t>
      </w:r>
      <w:r w:rsidR="0078381C" w:rsidRPr="00F072BB">
        <w:rPr>
          <w:lang w:val="pt-BR"/>
        </w:rPr>
        <w:t>acordado</w:t>
      </w:r>
      <w:r w:rsidRPr="00F072BB">
        <w:rPr>
          <w:lang w:val="pt-BR"/>
        </w:rPr>
        <w:t>.</w:t>
      </w:r>
    </w:p>
    <w:p w14:paraId="0DD449BB" w14:textId="0689B150" w:rsidR="0078381C" w:rsidRPr="00F072BB" w:rsidRDefault="0078381C" w:rsidP="0078381C">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O rigor de ter dois ou mais países com interesses potencialmente divergentes concordando com um </w:t>
      </w:r>
      <w:r w:rsidRPr="00F072BB">
        <w:rPr>
          <w:i/>
          <w:lang w:val="pt-BR"/>
        </w:rPr>
        <w:t>safe harbour</w:t>
      </w:r>
      <w:r w:rsidRPr="00F072BB">
        <w:rPr>
          <w:lang w:val="pt-BR"/>
        </w:rPr>
        <w:t xml:space="preserve"> deve servir para limitar parte da arbitrariedade que, de outra forma, poderia caracterizar um </w:t>
      </w:r>
      <w:r w:rsidRPr="00F072BB">
        <w:rPr>
          <w:i/>
          <w:lang w:val="pt-BR"/>
        </w:rPr>
        <w:t>safe harbour</w:t>
      </w:r>
      <w:r w:rsidRPr="00F072BB">
        <w:rPr>
          <w:lang w:val="pt-BR"/>
        </w:rPr>
        <w:t xml:space="preserve"> unilateral e eliminaria amplamente as preocupações de dupla tributação e dupla não tributação criadas por </w:t>
      </w:r>
      <w:r w:rsidRPr="00F072BB">
        <w:rPr>
          <w:i/>
          <w:lang w:val="pt-BR"/>
        </w:rPr>
        <w:t>safe harbours</w:t>
      </w:r>
      <w:r w:rsidRPr="00F072BB">
        <w:rPr>
          <w:lang w:val="pt-BR"/>
        </w:rPr>
        <w:t xml:space="preserve">. Particularmente para alguns contribuintes menores e/ou transações menos complexas, a criação de </w:t>
      </w:r>
      <w:r w:rsidRPr="00F072BB">
        <w:rPr>
          <w:i/>
          <w:lang w:val="pt-BR"/>
        </w:rPr>
        <w:t>safe harbours</w:t>
      </w:r>
      <w:r w:rsidRPr="00F072BB">
        <w:rPr>
          <w:lang w:val="pt-BR"/>
        </w:rPr>
        <w:t xml:space="preserve"> bilaterais ou multilaterais por acordo de autoridade competente pode fornecer uma abordagem valiosa para a simplificação dos preços de transferência que evitaria algumas das armadilhas potenciais de regimes unilaterais de </w:t>
      </w:r>
      <w:r w:rsidRPr="00F072BB">
        <w:rPr>
          <w:i/>
          <w:lang w:val="pt-BR"/>
        </w:rPr>
        <w:t>safe harbours</w:t>
      </w:r>
      <w:r w:rsidRPr="00F072BB">
        <w:rPr>
          <w:lang w:val="pt-BR"/>
        </w:rPr>
        <w:t>.</w:t>
      </w:r>
    </w:p>
    <w:p w14:paraId="3B3826B7" w14:textId="6BA08C20" w:rsidR="0078381C" w:rsidRPr="00F072BB" w:rsidRDefault="0078381C" w:rsidP="0078381C">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O anexo I do capítulo IV destas diretrizes contém exemplos de memorandos de entendimento que as autoridades competentes dos países podem usar para estabelecer </w:t>
      </w:r>
      <w:r w:rsidRPr="00F072BB">
        <w:rPr>
          <w:i/>
          <w:lang w:val="pt-BR"/>
        </w:rPr>
        <w:t>safe harbours</w:t>
      </w:r>
      <w:r w:rsidRPr="00F072BB">
        <w:rPr>
          <w:lang w:val="pt-BR"/>
        </w:rPr>
        <w:t xml:space="preserve"> bilaterais ou multilaterais em situações apropriadas para categorias comuns de casos de preços de transferência. O uso desses memorandos de entendimento não deve ser considerado obrigatório ou prescritivo no estabelecimento de </w:t>
      </w:r>
      <w:r w:rsidRPr="00F072BB">
        <w:rPr>
          <w:i/>
          <w:lang w:val="pt-BR"/>
        </w:rPr>
        <w:t>safe harbours</w:t>
      </w:r>
      <w:r w:rsidRPr="00F072BB">
        <w:rPr>
          <w:lang w:val="pt-BR"/>
        </w:rPr>
        <w:t xml:space="preserve"> bilaterais ou multilaterais. Pelo contrário, visam fornecer um quadro possível para a adaptação às necessidades específicas das autoridades fiscais dos países em questão.</w:t>
      </w:r>
    </w:p>
    <w:p w14:paraId="455DE97C" w14:textId="7F393768" w:rsidR="006104F1" w:rsidRPr="00F072BB" w:rsidRDefault="0078381C" w:rsidP="00CD7DFE">
      <w:pPr>
        <w:pStyle w:val="Num-DocParagraph"/>
        <w:keepNext/>
        <w:numPr>
          <w:ilvl w:val="0"/>
          <w:numId w:val="16"/>
        </w:numPr>
        <w:tabs>
          <w:tab w:val="clear" w:pos="850"/>
          <w:tab w:val="left" w:pos="720"/>
        </w:tabs>
        <w:ind w:right="521"/>
        <w:rPr>
          <w:b/>
          <w:i/>
          <w:lang w:val="pt-BR"/>
        </w:rPr>
      </w:pPr>
      <w:r w:rsidRPr="00F072BB">
        <w:rPr>
          <w:b/>
          <w:i/>
          <w:lang w:val="pt-BR"/>
        </w:rPr>
        <w:lastRenderedPageBreak/>
        <w:t>Possibilidade de abrir caminh</w:t>
      </w:r>
      <w:r w:rsidR="002F6CEA" w:rsidRPr="00F072BB">
        <w:rPr>
          <w:b/>
          <w:i/>
          <w:lang w:val="pt-BR"/>
        </w:rPr>
        <w:t>os para planejamento tributário</w:t>
      </w:r>
    </w:p>
    <w:p w14:paraId="4D720D29" w14:textId="7B4D948B" w:rsidR="002F6CEA" w:rsidRPr="00F072BB" w:rsidRDefault="002F6CEA" w:rsidP="002F6CEA">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Os </w:t>
      </w:r>
      <w:r w:rsidRPr="00F072BB">
        <w:rPr>
          <w:i/>
          <w:lang w:val="pt-BR"/>
        </w:rPr>
        <w:t>safe harbours</w:t>
      </w:r>
      <w:r w:rsidRPr="00F072BB">
        <w:rPr>
          <w:lang w:val="pt-BR"/>
        </w:rPr>
        <w:t xml:space="preserve"> também podem oferecer aos contribuintes oportunidades de planejamento tributário. As empresas podem ter um incentivo para modificar seus preços de transferência a fim de transferir lucros tributáveis para outras jurisdições. Isso também pode possivelmente induzir a evasão fiscal, na medida em que sejam adotados acordos artificiais com o objetivo de explorar as disposições do </w:t>
      </w:r>
      <w:r w:rsidRPr="00F072BB">
        <w:rPr>
          <w:i/>
          <w:lang w:val="pt-BR"/>
        </w:rPr>
        <w:t>safe harbour</w:t>
      </w:r>
      <w:r w:rsidRPr="00F072BB">
        <w:rPr>
          <w:lang w:val="pt-BR"/>
        </w:rPr>
        <w:t xml:space="preserve">. Por exemplo, se </w:t>
      </w:r>
      <w:r w:rsidRPr="00F072BB">
        <w:rPr>
          <w:i/>
          <w:lang w:val="pt-BR"/>
        </w:rPr>
        <w:t>safe harbours</w:t>
      </w:r>
      <w:r w:rsidRPr="00F072BB">
        <w:rPr>
          <w:lang w:val="pt-BR"/>
        </w:rPr>
        <w:t xml:space="preserve"> se aplicam a transações "simples" ou "pequenas", os contribuintes podem ficar tentados a dividir as transações em partes para fazê-las parecer simples ou pequenas.</w:t>
      </w:r>
    </w:p>
    <w:p w14:paraId="6A487F98" w14:textId="09F39BE9" w:rsidR="00B73136" w:rsidRPr="00F072BB" w:rsidRDefault="00B73136" w:rsidP="00B73136">
      <w:pPr>
        <w:pStyle w:val="Num-DocParagraph"/>
        <w:numPr>
          <w:ilvl w:val="0"/>
          <w:numId w:val="13"/>
        </w:numPr>
        <w:tabs>
          <w:tab w:val="clear" w:pos="850"/>
          <w:tab w:val="clear" w:pos="1191"/>
          <w:tab w:val="left" w:pos="720"/>
          <w:tab w:val="left" w:pos="1560"/>
        </w:tabs>
        <w:ind w:right="556"/>
        <w:rPr>
          <w:lang w:val="pt-BR"/>
        </w:rPr>
      </w:pPr>
      <w:r w:rsidRPr="00F072BB">
        <w:rPr>
          <w:lang w:val="pt-BR"/>
        </w:rPr>
        <w:t xml:space="preserve">Se um </w:t>
      </w:r>
      <w:r w:rsidRPr="00F072BB">
        <w:rPr>
          <w:i/>
          <w:lang w:val="pt-BR"/>
        </w:rPr>
        <w:t>safe harbour</w:t>
      </w:r>
      <w:r w:rsidRPr="00F072BB">
        <w:rPr>
          <w:lang w:val="pt-BR"/>
        </w:rPr>
        <w:t xml:space="preserve"> fosse baseado na média da indústria, poderiam existir oportunidades de planejamento tributário para contribuintes com rentabilidade </w:t>
      </w:r>
      <w:r w:rsidR="00F45303" w:rsidRPr="00F072BB">
        <w:rPr>
          <w:lang w:val="pt-BR"/>
        </w:rPr>
        <w:t>maior</w:t>
      </w:r>
      <w:r w:rsidRPr="00F072BB">
        <w:rPr>
          <w:lang w:val="pt-BR"/>
        </w:rPr>
        <w:t xml:space="preserve"> que a média. Por exemplo, uma empresa com boa relação custo-benefício que vende a preço de mercado pode estar recebendo uma margem de 15% em vendas controladas. Se um país adotar um </w:t>
      </w:r>
      <w:r w:rsidRPr="00F072BB">
        <w:rPr>
          <w:i/>
          <w:lang w:val="pt-BR"/>
        </w:rPr>
        <w:t>safe harbour</w:t>
      </w:r>
      <w:r w:rsidRPr="00F072BB">
        <w:rPr>
          <w:lang w:val="pt-BR"/>
        </w:rPr>
        <w:t xml:space="preserve"> que exija uma </w:t>
      </w:r>
      <w:r w:rsidR="0047738F" w:rsidRPr="00F072BB">
        <w:rPr>
          <w:lang w:val="pt-BR"/>
        </w:rPr>
        <w:t>margem</w:t>
      </w:r>
      <w:r w:rsidRPr="00F072BB">
        <w:rPr>
          <w:lang w:val="pt-BR"/>
        </w:rPr>
        <w:t xml:space="preserve"> de 10%, a empresa poderá ter um incentivo para cumpri-lo e transferir os 5% restantes para uma jurisdição com baixa tributação. Consequentemente, a renda tributável seria deslocada para fora do país. Quando aplicado em larga escala, isso pode significar perda significativa de receita para o país que oferece o </w:t>
      </w:r>
      <w:r w:rsidR="0047738F" w:rsidRPr="00F072BB">
        <w:rPr>
          <w:i/>
          <w:lang w:val="pt-BR"/>
        </w:rPr>
        <w:t>safe harbour</w:t>
      </w:r>
      <w:r w:rsidRPr="00F072BB">
        <w:rPr>
          <w:lang w:val="pt-BR"/>
        </w:rPr>
        <w:t>.</w:t>
      </w:r>
    </w:p>
    <w:p w14:paraId="6AD0638F" w14:textId="539C8C2B" w:rsidR="002F6CEA" w:rsidRPr="00F072BB" w:rsidRDefault="002F6CEA" w:rsidP="002F6CEA">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Essa preocupação pode ser amplamente evitada pela solução observada no parágrafo 4.119 </w:t>
      </w:r>
      <w:r w:rsidR="0057376D" w:rsidRPr="00F072BB">
        <w:rPr>
          <w:lang w:val="pt-BR"/>
        </w:rPr>
        <w:t>que trata da</w:t>
      </w:r>
      <w:r w:rsidRPr="00F072BB">
        <w:rPr>
          <w:lang w:val="pt-BR"/>
        </w:rPr>
        <w:t xml:space="preserve"> adoção de </w:t>
      </w:r>
      <w:r w:rsidR="0057376D" w:rsidRPr="00F072BB">
        <w:rPr>
          <w:i/>
          <w:lang w:val="pt-BR"/>
        </w:rPr>
        <w:t>safe harbours</w:t>
      </w:r>
      <w:r w:rsidRPr="00F072BB">
        <w:rPr>
          <w:lang w:val="pt-BR"/>
        </w:rPr>
        <w:t xml:space="preserve"> em uma base bilateral ou multilateral, limitando assim a aplicação de </w:t>
      </w:r>
      <w:r w:rsidR="0057376D" w:rsidRPr="00F072BB">
        <w:rPr>
          <w:i/>
          <w:lang w:val="pt-BR"/>
        </w:rPr>
        <w:t>safe harbours</w:t>
      </w:r>
      <w:r w:rsidR="0057376D" w:rsidRPr="00F072BB">
        <w:rPr>
          <w:lang w:val="pt-BR"/>
        </w:rPr>
        <w:t xml:space="preserve"> à</w:t>
      </w:r>
      <w:r w:rsidR="00330519" w:rsidRPr="00F072BB">
        <w:rPr>
          <w:lang w:val="pt-BR"/>
        </w:rPr>
        <w:t>s</w:t>
      </w:r>
      <w:r w:rsidRPr="00F072BB">
        <w:rPr>
          <w:lang w:val="pt-BR"/>
        </w:rPr>
        <w:t xml:space="preserve"> transações envolvendo países com preocupações semelhantes em preços de transferência. Ao adotar </w:t>
      </w:r>
      <w:r w:rsidR="0057376D" w:rsidRPr="00F072BB">
        <w:rPr>
          <w:i/>
          <w:lang w:val="pt-BR"/>
        </w:rPr>
        <w:t>safe harbours</w:t>
      </w:r>
      <w:r w:rsidRPr="00F072BB">
        <w:rPr>
          <w:lang w:val="pt-BR"/>
        </w:rPr>
        <w:t xml:space="preserve"> bilaterais e multilaterais, as administrações tributárias precisariam estar cientes de que o estabelecimento de uma extensa rede de tais acordos poderia potencialmente incentivar </w:t>
      </w:r>
      <w:r w:rsidR="00C54759" w:rsidRPr="00F072BB">
        <w:rPr>
          <w:lang w:val="pt-BR"/>
        </w:rPr>
        <w:t xml:space="preserve">a busca por aproveitamento de benefícios conferidos por </w:t>
      </w:r>
      <w:r w:rsidR="00C54759" w:rsidRPr="00F072BB">
        <w:rPr>
          <w:i/>
          <w:lang w:val="pt-BR"/>
        </w:rPr>
        <w:t xml:space="preserve">safe harbours </w:t>
      </w:r>
      <w:r w:rsidR="00F67178" w:rsidRPr="00F072BB">
        <w:rPr>
          <w:lang w:val="pt-BR"/>
        </w:rPr>
        <w:t>(</w:t>
      </w:r>
      <w:r w:rsidR="00C54759" w:rsidRPr="00F072BB">
        <w:rPr>
          <w:i/>
          <w:lang w:val="pt-BR"/>
        </w:rPr>
        <w:t>safe harbours</w:t>
      </w:r>
      <w:r w:rsidR="00F67178" w:rsidRPr="00F072BB">
        <w:rPr>
          <w:i/>
          <w:lang w:val="pt-BR"/>
        </w:rPr>
        <w:t xml:space="preserve"> shopping)</w:t>
      </w:r>
      <w:r w:rsidRPr="00F072BB">
        <w:rPr>
          <w:lang w:val="pt-BR"/>
        </w:rPr>
        <w:t xml:space="preserve"> através da realização de transações em territórios com </w:t>
      </w:r>
      <w:r w:rsidR="00F67178" w:rsidRPr="00F072BB">
        <w:rPr>
          <w:i/>
          <w:lang w:val="pt-BR"/>
        </w:rPr>
        <w:t>safe harbours</w:t>
      </w:r>
      <w:r w:rsidRPr="00F072BB">
        <w:rPr>
          <w:lang w:val="pt-BR"/>
        </w:rPr>
        <w:t xml:space="preserve"> mais favoráveis ​​e tomar as medidas necessárias para evitar essa possibilidade. Da mesma forma, os países que adotam </w:t>
      </w:r>
      <w:r w:rsidR="00F67178" w:rsidRPr="00F072BB">
        <w:rPr>
          <w:i/>
          <w:lang w:val="pt-BR"/>
        </w:rPr>
        <w:t>safe harbours</w:t>
      </w:r>
      <w:r w:rsidR="00F67178" w:rsidRPr="00F072BB">
        <w:rPr>
          <w:lang w:val="pt-BR"/>
        </w:rPr>
        <w:t xml:space="preserve"> bilaterais seriam </w:t>
      </w:r>
      <w:r w:rsidRPr="00F072BB">
        <w:rPr>
          <w:lang w:val="pt-BR"/>
        </w:rPr>
        <w:t xml:space="preserve">aconselhados a atingir faixas razoavelmente estreitas de resultados aceitáveis ​​e a exigir relatórios consistentes de renda em cada país que é parte do acordo de </w:t>
      </w:r>
      <w:r w:rsidR="00F67178" w:rsidRPr="00F072BB">
        <w:rPr>
          <w:i/>
          <w:lang w:val="pt-BR"/>
        </w:rPr>
        <w:t>safe harbours</w:t>
      </w:r>
      <w:r w:rsidR="00F67178" w:rsidRPr="00F072BB">
        <w:rPr>
          <w:lang w:val="pt-BR"/>
        </w:rPr>
        <w:t xml:space="preserve">. </w:t>
      </w:r>
      <w:r w:rsidRPr="00F072BB">
        <w:rPr>
          <w:lang w:val="pt-BR"/>
        </w:rPr>
        <w:t xml:space="preserve">As disposições de troca de informações do Tratado podem ser usadas pelos países sempre que necessário para confirmar o uso de relatórios consistentes em um </w:t>
      </w:r>
      <w:r w:rsidR="00F67178" w:rsidRPr="00F072BB">
        <w:rPr>
          <w:i/>
          <w:lang w:val="pt-BR"/>
        </w:rPr>
        <w:t>safe harbour</w:t>
      </w:r>
      <w:r w:rsidRPr="00F072BB">
        <w:rPr>
          <w:lang w:val="pt-BR"/>
        </w:rPr>
        <w:t xml:space="preserve"> bilateral.</w:t>
      </w:r>
    </w:p>
    <w:p w14:paraId="6F2C4F07" w14:textId="21BB798F" w:rsidR="00F67178" w:rsidRPr="00F072BB" w:rsidRDefault="00F67178" w:rsidP="00F67178">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É </w:t>
      </w:r>
      <w:r w:rsidR="00445B23" w:rsidRPr="00F072BB">
        <w:rPr>
          <w:lang w:val="pt-BR"/>
        </w:rPr>
        <w:t xml:space="preserve">decisão </w:t>
      </w:r>
      <w:r w:rsidRPr="00F072BB">
        <w:rPr>
          <w:lang w:val="pt-BR"/>
        </w:rPr>
        <w:t xml:space="preserve">do país que está implementando um </w:t>
      </w:r>
      <w:r w:rsidRPr="00F072BB">
        <w:rPr>
          <w:i/>
          <w:lang w:val="pt-BR"/>
        </w:rPr>
        <w:t xml:space="preserve">safe harbour </w:t>
      </w:r>
      <w:r w:rsidR="00445B23" w:rsidRPr="00F072BB">
        <w:rPr>
          <w:lang w:val="pt-BR"/>
        </w:rPr>
        <w:t>se o mesmo</w:t>
      </w:r>
      <w:r w:rsidRPr="00F072BB">
        <w:rPr>
          <w:lang w:val="pt-BR"/>
        </w:rPr>
        <w:t xml:space="preserve"> está preparado para sofrer alguma erosão de sua própria base tributária. </w:t>
      </w:r>
      <w:r w:rsidR="00445B23" w:rsidRPr="00F072BB">
        <w:rPr>
          <w:lang w:val="pt-BR"/>
        </w:rPr>
        <w:t>A ponderação</w:t>
      </w:r>
      <w:r w:rsidRPr="00F072BB">
        <w:rPr>
          <w:lang w:val="pt-BR"/>
        </w:rPr>
        <w:t xml:space="preserve"> </w:t>
      </w:r>
      <w:r w:rsidR="00445B23" w:rsidRPr="00F072BB">
        <w:rPr>
          <w:lang w:val="pt-BR"/>
        </w:rPr>
        <w:t>básica a que deve-se fazer ao</w:t>
      </w:r>
      <w:r w:rsidRPr="00F072BB">
        <w:rPr>
          <w:lang w:val="pt-BR"/>
        </w:rPr>
        <w:t xml:space="preserve"> tomar </w:t>
      </w:r>
      <w:r w:rsidR="00445B23" w:rsidRPr="00F072BB">
        <w:rPr>
          <w:lang w:val="pt-BR"/>
        </w:rPr>
        <w:t>tal</w:t>
      </w:r>
      <w:r w:rsidRPr="00F072BB">
        <w:rPr>
          <w:lang w:val="pt-BR"/>
        </w:rPr>
        <w:t xml:space="preserve"> decisão política</w:t>
      </w:r>
      <w:r w:rsidR="00445B23" w:rsidRPr="00F072BB">
        <w:rPr>
          <w:lang w:val="pt-BR"/>
        </w:rPr>
        <w:t xml:space="preserve"> é considerar, de um lado, </w:t>
      </w:r>
      <w:r w:rsidRPr="00F072BB">
        <w:rPr>
          <w:lang w:val="pt-BR"/>
        </w:rPr>
        <w:t xml:space="preserve">a </w:t>
      </w:r>
      <w:r w:rsidR="00445B23" w:rsidRPr="00F072BB">
        <w:rPr>
          <w:lang w:val="pt-BR"/>
        </w:rPr>
        <w:t>segurança</w:t>
      </w:r>
      <w:r w:rsidRPr="00F072BB">
        <w:rPr>
          <w:lang w:val="pt-BR"/>
        </w:rPr>
        <w:t xml:space="preserve"> e a simplicidade administrativa do </w:t>
      </w:r>
      <w:r w:rsidR="00445B23" w:rsidRPr="00F072BB">
        <w:rPr>
          <w:i/>
          <w:lang w:val="pt-BR"/>
        </w:rPr>
        <w:t>safe harbour</w:t>
      </w:r>
      <w:r w:rsidRPr="00F072BB">
        <w:rPr>
          <w:lang w:val="pt-BR"/>
        </w:rPr>
        <w:t xml:space="preserve"> para contribuintes e administrações </w:t>
      </w:r>
      <w:r w:rsidR="00445B23" w:rsidRPr="00F072BB">
        <w:rPr>
          <w:lang w:val="pt-BR"/>
        </w:rPr>
        <w:t>tributárias</w:t>
      </w:r>
      <w:r w:rsidRPr="00F072BB">
        <w:rPr>
          <w:lang w:val="pt-BR"/>
        </w:rPr>
        <w:t xml:space="preserve">, </w:t>
      </w:r>
      <w:r w:rsidR="00445B23" w:rsidRPr="00F072BB">
        <w:rPr>
          <w:lang w:val="pt-BR"/>
        </w:rPr>
        <w:t xml:space="preserve">e de outro, </w:t>
      </w:r>
      <w:r w:rsidRPr="00F072BB">
        <w:rPr>
          <w:lang w:val="pt-BR"/>
        </w:rPr>
        <w:t xml:space="preserve">a possibilidade de erosão </w:t>
      </w:r>
      <w:r w:rsidR="00445B23" w:rsidRPr="00F072BB">
        <w:rPr>
          <w:lang w:val="pt-BR"/>
        </w:rPr>
        <w:t>da receita tributária</w:t>
      </w:r>
      <w:r w:rsidRPr="00F072BB">
        <w:rPr>
          <w:lang w:val="pt-BR"/>
        </w:rPr>
        <w:t>.</w:t>
      </w:r>
    </w:p>
    <w:p w14:paraId="3AB0FFFC" w14:textId="297846A8" w:rsidR="00A2499D" w:rsidRPr="00F072BB" w:rsidRDefault="00A2499D" w:rsidP="00A2499D">
      <w:pPr>
        <w:pStyle w:val="Num-DocParagraph"/>
        <w:keepNext/>
        <w:numPr>
          <w:ilvl w:val="0"/>
          <w:numId w:val="16"/>
        </w:numPr>
        <w:tabs>
          <w:tab w:val="clear" w:pos="850"/>
          <w:tab w:val="left" w:pos="720"/>
        </w:tabs>
        <w:ind w:right="521"/>
        <w:rPr>
          <w:b/>
          <w:i/>
          <w:lang w:val="pt-BR"/>
        </w:rPr>
      </w:pPr>
      <w:r w:rsidRPr="00F072BB">
        <w:rPr>
          <w:b/>
          <w:i/>
          <w:lang w:val="pt-BR"/>
        </w:rPr>
        <w:t>Questões de equidade e uniformidade</w:t>
      </w:r>
    </w:p>
    <w:p w14:paraId="2E49AF39" w14:textId="258BA8EB" w:rsidR="00A2499D" w:rsidRPr="00F072BB" w:rsidRDefault="00A2499D" w:rsidP="00A2499D">
      <w:pPr>
        <w:pStyle w:val="Num-DocParagraph"/>
        <w:numPr>
          <w:ilvl w:val="0"/>
          <w:numId w:val="13"/>
        </w:numPr>
        <w:tabs>
          <w:tab w:val="clear" w:pos="850"/>
          <w:tab w:val="clear" w:pos="1191"/>
          <w:tab w:val="left" w:pos="720"/>
          <w:tab w:val="left" w:pos="1560"/>
        </w:tabs>
        <w:ind w:right="556" w:hanging="11"/>
        <w:rPr>
          <w:lang w:val="pt-BR"/>
        </w:rPr>
      </w:pPr>
      <w:r w:rsidRPr="00F072BB">
        <w:rPr>
          <w:i/>
          <w:lang w:val="pt-BR"/>
        </w:rPr>
        <w:t>Safe harbours</w:t>
      </w:r>
      <w:r w:rsidRPr="00F072BB">
        <w:rPr>
          <w:lang w:val="pt-BR"/>
        </w:rPr>
        <w:t xml:space="preserve"> podem levantar questões de equidade e uniformidade. Ao implementar um </w:t>
      </w:r>
      <w:r w:rsidRPr="00F072BB">
        <w:rPr>
          <w:i/>
          <w:lang w:val="pt-BR"/>
        </w:rPr>
        <w:t>safe harbour</w:t>
      </w:r>
      <w:r w:rsidRPr="00F072BB">
        <w:rPr>
          <w:lang w:val="pt-BR"/>
        </w:rPr>
        <w:t xml:space="preserve"> criaríamos dois conjuntos distintos de regras na área de preços de transferência. São necessários critérios claros e cuidadosamente projetados para diferenciar os contribuintes ou transações elegíveis para o </w:t>
      </w:r>
      <w:r w:rsidRPr="00F072BB">
        <w:rPr>
          <w:i/>
          <w:lang w:val="pt-BR"/>
        </w:rPr>
        <w:t>safe harbour</w:t>
      </w:r>
      <w:r w:rsidRPr="00F072BB">
        <w:rPr>
          <w:lang w:val="pt-BR"/>
        </w:rPr>
        <w:t xml:space="preserve">, a fim de minimizar a possibilidade de contribuintes similares e possivelmente concorrentes se encontrarem em lados opostos do limiar do </w:t>
      </w:r>
      <w:r w:rsidRPr="00F072BB">
        <w:rPr>
          <w:i/>
          <w:lang w:val="pt-BR"/>
        </w:rPr>
        <w:t>safe harbour</w:t>
      </w:r>
      <w:r w:rsidRPr="00F072BB">
        <w:rPr>
          <w:lang w:val="pt-BR"/>
        </w:rPr>
        <w:t xml:space="preserve"> ou, inversamente, de permitir a aplicação do </w:t>
      </w:r>
      <w:r w:rsidRPr="00F072BB">
        <w:rPr>
          <w:i/>
          <w:lang w:val="pt-BR"/>
        </w:rPr>
        <w:t>safe harbour</w:t>
      </w:r>
      <w:r w:rsidRPr="00F072BB">
        <w:rPr>
          <w:lang w:val="pt-BR"/>
        </w:rPr>
        <w:t xml:space="preserve"> a contribuintes ou transações não intencionais. Critérios insuficientemente precisos podem resultar em contribuintes semelhantes recebendo tratamento tributário diferente: um pode cumprir as regras de </w:t>
      </w:r>
      <w:r w:rsidRPr="00F072BB">
        <w:rPr>
          <w:i/>
          <w:lang w:val="pt-BR"/>
        </w:rPr>
        <w:t>safe harbour</w:t>
      </w:r>
      <w:r w:rsidRPr="00F072BB">
        <w:rPr>
          <w:lang w:val="pt-BR"/>
        </w:rPr>
        <w:t xml:space="preserve"> e, portanto, isentar-se das disposições gerais de conformidade com as regras de preços de transferência e o outro é obrigado a precificar suas transaçõe</w:t>
      </w:r>
      <w:r w:rsidR="007F664E" w:rsidRPr="00F072BB">
        <w:rPr>
          <w:lang w:val="pt-BR"/>
        </w:rPr>
        <w:t xml:space="preserve">s de acordo com as </w:t>
      </w:r>
      <w:r w:rsidRPr="00F072BB">
        <w:rPr>
          <w:lang w:val="pt-BR"/>
        </w:rPr>
        <w:t>disposições</w:t>
      </w:r>
      <w:r w:rsidR="007F664E" w:rsidRPr="00F072BB">
        <w:rPr>
          <w:lang w:val="pt-BR"/>
        </w:rPr>
        <w:t xml:space="preserve"> gerais</w:t>
      </w:r>
      <w:r w:rsidRPr="00F072BB">
        <w:rPr>
          <w:lang w:val="pt-BR"/>
        </w:rPr>
        <w:t xml:space="preserve"> de preços de transferência. O tratamento tributário preferencial sob regimes de </w:t>
      </w:r>
      <w:r w:rsidR="007F664E" w:rsidRPr="00F072BB">
        <w:rPr>
          <w:i/>
          <w:lang w:val="pt-BR"/>
        </w:rPr>
        <w:t>safe harbour</w:t>
      </w:r>
      <w:r w:rsidRPr="00F072BB">
        <w:rPr>
          <w:lang w:val="pt-BR"/>
        </w:rPr>
        <w:t xml:space="preserve"> para uma categoria </w:t>
      </w:r>
      <w:r w:rsidRPr="00F072BB">
        <w:rPr>
          <w:lang w:val="pt-BR"/>
        </w:rPr>
        <w:lastRenderedPageBreak/>
        <w:t xml:space="preserve">específica de contribuintes pode potencialmente envolver discriminação e distorções competitivas. A adoção de </w:t>
      </w:r>
      <w:r w:rsidR="007F664E" w:rsidRPr="00F072BB">
        <w:rPr>
          <w:i/>
          <w:lang w:val="pt-BR"/>
        </w:rPr>
        <w:t>safe harbours</w:t>
      </w:r>
      <w:r w:rsidRPr="00F072BB">
        <w:rPr>
          <w:lang w:val="pt-BR"/>
        </w:rPr>
        <w:t xml:space="preserve"> bilaterais ou multilaterais pode, em algumas circunstâncias, aumentar o potencial de divergência no tratamento tributário, não apenas entre contribuintes diferentes, mas semelhantes, </w:t>
      </w:r>
      <w:r w:rsidR="007F664E" w:rsidRPr="00F072BB">
        <w:rPr>
          <w:lang w:val="pt-BR"/>
        </w:rPr>
        <w:t>e</w:t>
      </w:r>
      <w:r w:rsidRPr="00F072BB">
        <w:rPr>
          <w:lang w:val="pt-BR"/>
        </w:rPr>
        <w:t xml:space="preserve"> também entre transações semelhantes realizadas pelo mesmo contribuinte com empresas associadas em jurisdições diferentes.</w:t>
      </w:r>
    </w:p>
    <w:p w14:paraId="208F757F" w14:textId="594F47D9" w:rsidR="00CD7DFE" w:rsidRPr="00F072BB" w:rsidRDefault="007F664E" w:rsidP="007F664E">
      <w:pPr>
        <w:pStyle w:val="Num-DocParagraph"/>
        <w:keepNext/>
        <w:numPr>
          <w:ilvl w:val="0"/>
          <w:numId w:val="11"/>
        </w:numPr>
        <w:ind w:right="521"/>
        <w:rPr>
          <w:b/>
          <w:lang w:val="pt-BR"/>
        </w:rPr>
      </w:pPr>
      <w:r w:rsidRPr="00F072BB">
        <w:rPr>
          <w:b/>
          <w:lang w:val="pt-BR"/>
        </w:rPr>
        <w:t xml:space="preserve">Recomendações sobre o uso de </w:t>
      </w:r>
      <w:r w:rsidRPr="00F072BB">
        <w:rPr>
          <w:b/>
          <w:i/>
          <w:lang w:val="pt-BR"/>
        </w:rPr>
        <w:t>safe harbours</w:t>
      </w:r>
    </w:p>
    <w:p w14:paraId="6D03B3B9" w14:textId="77777777" w:rsidR="007F664E" w:rsidRPr="00F072BB" w:rsidRDefault="007F664E" w:rsidP="007F664E">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 conformidade e administração dos preços de transferência geralmente são complexas, demoradas e custosas. Disposições de </w:t>
      </w:r>
      <w:r w:rsidRPr="00F072BB">
        <w:rPr>
          <w:i/>
          <w:lang w:val="pt-BR"/>
        </w:rPr>
        <w:t>safe harbour</w:t>
      </w:r>
      <w:r w:rsidRPr="00F072BB">
        <w:rPr>
          <w:lang w:val="pt-BR"/>
        </w:rPr>
        <w:t xml:space="preserve"> projetadas adequadamente, aplicadas em circunstâncias apropriadas, podem ajudar a aliviar alguns desses encargos e proporcionar maior segurança aos contribuintes.</w:t>
      </w:r>
    </w:p>
    <w:p w14:paraId="645FECFA" w14:textId="7E7E92A6" w:rsidR="007F664E" w:rsidRPr="00F072BB" w:rsidRDefault="007F664E" w:rsidP="007F664E">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As disposições sobre </w:t>
      </w:r>
      <w:r w:rsidRPr="00F072BB">
        <w:rPr>
          <w:i/>
          <w:lang w:val="pt-BR"/>
        </w:rPr>
        <w:t>safe harbour</w:t>
      </w:r>
      <w:r w:rsidRPr="00F072BB">
        <w:rPr>
          <w:lang w:val="pt-BR"/>
        </w:rPr>
        <w:t xml:space="preserve"> podem levantar questões como possíveis efeitos perversos nas decisões de preços de empresas envolvidas em transações controladas e um impacto negativo nas receitas tributárias do país que implementa o </w:t>
      </w:r>
      <w:r w:rsidRPr="00F072BB">
        <w:rPr>
          <w:i/>
          <w:lang w:val="pt-BR"/>
        </w:rPr>
        <w:t>safe harbour</w:t>
      </w:r>
      <w:r w:rsidRPr="00F072BB">
        <w:rPr>
          <w:lang w:val="pt-BR"/>
        </w:rPr>
        <w:t xml:space="preserve">, bem como nos países cujas empresas associadas se envolvem em transações controladas com contribuintes que aplicam um </w:t>
      </w:r>
      <w:r w:rsidRPr="00F072BB">
        <w:rPr>
          <w:i/>
          <w:lang w:val="pt-BR"/>
        </w:rPr>
        <w:t>safe harbour</w:t>
      </w:r>
      <w:r w:rsidRPr="00F072BB">
        <w:rPr>
          <w:lang w:val="pt-BR"/>
        </w:rPr>
        <w:t xml:space="preserve">. Além disso, </w:t>
      </w:r>
      <w:r w:rsidRPr="00F072BB">
        <w:rPr>
          <w:i/>
          <w:lang w:val="pt-BR"/>
        </w:rPr>
        <w:t>safe harbours</w:t>
      </w:r>
      <w:r w:rsidRPr="00F072BB">
        <w:rPr>
          <w:lang w:val="pt-BR"/>
        </w:rPr>
        <w:t xml:space="preserve"> unilaterais podem levar à potencial dupla tributação ou dupla não tributação.</w:t>
      </w:r>
    </w:p>
    <w:p w14:paraId="68420CC4" w14:textId="77777777" w:rsidR="008748F0" w:rsidRPr="00F072BB" w:rsidRDefault="007F664E" w:rsidP="008748F0">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No entanto, nos casos de contribuintes menores ou transações menos complexas, os benefícios dos </w:t>
      </w:r>
      <w:r w:rsidRPr="00F072BB">
        <w:rPr>
          <w:i/>
          <w:lang w:val="pt-BR"/>
        </w:rPr>
        <w:t>safe harbours</w:t>
      </w:r>
      <w:r w:rsidRPr="00F072BB">
        <w:rPr>
          <w:lang w:val="pt-BR"/>
        </w:rPr>
        <w:t xml:space="preserve"> podem superar os problemas levantados por essas questões. Tornar esses </w:t>
      </w:r>
      <w:r w:rsidRPr="00F072BB">
        <w:rPr>
          <w:i/>
          <w:lang w:val="pt-BR"/>
        </w:rPr>
        <w:t>safe harbours</w:t>
      </w:r>
      <w:r w:rsidRPr="00F072BB">
        <w:rPr>
          <w:lang w:val="pt-BR"/>
        </w:rPr>
        <w:t xml:space="preserve"> eletivos para os contribuintes pode limitar ainda mais a divergência em relação ao preço </w:t>
      </w:r>
      <w:r w:rsidRPr="00F072BB">
        <w:rPr>
          <w:i/>
          <w:lang w:val="pt-BR"/>
        </w:rPr>
        <w:t>arm’s length</w:t>
      </w:r>
      <w:r w:rsidRPr="00F072BB">
        <w:rPr>
          <w:lang w:val="pt-BR"/>
        </w:rPr>
        <w:t xml:space="preserve">. </w:t>
      </w:r>
      <w:r w:rsidR="008748F0" w:rsidRPr="00F072BB">
        <w:rPr>
          <w:lang w:val="pt-BR"/>
        </w:rPr>
        <w:t>Nos</w:t>
      </w:r>
      <w:r w:rsidRPr="00F072BB">
        <w:rPr>
          <w:lang w:val="pt-BR"/>
        </w:rPr>
        <w:t xml:space="preserve"> países </w:t>
      </w:r>
      <w:r w:rsidR="008748F0" w:rsidRPr="00F072BB">
        <w:rPr>
          <w:lang w:val="pt-BR"/>
        </w:rPr>
        <w:t>em que há a adoção de</w:t>
      </w:r>
      <w:r w:rsidRPr="00F072BB">
        <w:rPr>
          <w:lang w:val="pt-BR"/>
        </w:rPr>
        <w:t xml:space="preserve"> </w:t>
      </w:r>
      <w:r w:rsidRPr="00F072BB">
        <w:rPr>
          <w:i/>
          <w:lang w:val="pt-BR"/>
        </w:rPr>
        <w:t>safe harbours</w:t>
      </w:r>
      <w:r w:rsidRPr="00F072BB">
        <w:rPr>
          <w:lang w:val="pt-BR"/>
        </w:rPr>
        <w:t>, é aconselhável</w:t>
      </w:r>
      <w:r w:rsidR="008748F0" w:rsidRPr="00F072BB">
        <w:rPr>
          <w:lang w:val="pt-BR"/>
        </w:rPr>
        <w:t xml:space="preserve"> um empenho em modificar os</w:t>
      </w:r>
      <w:r w:rsidRPr="00F072BB">
        <w:rPr>
          <w:lang w:val="pt-BR"/>
        </w:rPr>
        <w:t xml:space="preserve"> resultados de </w:t>
      </w:r>
      <w:r w:rsidRPr="00F072BB">
        <w:rPr>
          <w:i/>
          <w:lang w:val="pt-BR"/>
        </w:rPr>
        <w:t>safe harbours</w:t>
      </w:r>
      <w:r w:rsidRPr="00F072BB">
        <w:rPr>
          <w:lang w:val="pt-BR"/>
        </w:rPr>
        <w:t xml:space="preserve"> em procedimentos amigáveis para limitar o risco potencial de dupla tributação.</w:t>
      </w:r>
    </w:p>
    <w:p w14:paraId="0290F2E0" w14:textId="77777777" w:rsidR="008748F0" w:rsidRPr="00F072BB" w:rsidRDefault="008748F0" w:rsidP="008748F0">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Nos casos em que os </w:t>
      </w:r>
      <w:r w:rsidRPr="00F072BB">
        <w:rPr>
          <w:i/>
          <w:lang w:val="pt-BR"/>
        </w:rPr>
        <w:t>safe harbours</w:t>
      </w:r>
      <w:r w:rsidRPr="00F072BB">
        <w:rPr>
          <w:lang w:val="pt-BR"/>
        </w:rPr>
        <w:t xml:space="preserve"> podem ser negociados de maneira bilateral ou multilateral, eles podem proporcionar alívio significativo dos encargos de conformidade tributária e da complexidade administrativa, sem criar problemas de dupla tributação ou dupla não tributação. Portanto, o uso de </w:t>
      </w:r>
      <w:r w:rsidRPr="00F072BB">
        <w:rPr>
          <w:i/>
          <w:lang w:val="pt-BR"/>
        </w:rPr>
        <w:t>safe harbours</w:t>
      </w:r>
      <w:r w:rsidRPr="00F072BB">
        <w:rPr>
          <w:lang w:val="pt-BR"/>
        </w:rPr>
        <w:t xml:space="preserve"> bilaterais ou multilaterais, nas circunstâncias certas, deve ser incentivado.</w:t>
      </w:r>
    </w:p>
    <w:p w14:paraId="0183CCDB" w14:textId="709F27CD" w:rsidR="008748F0" w:rsidRPr="00F072BB" w:rsidRDefault="008748F0" w:rsidP="008748F0">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Deve-se reconhecer claramente que um </w:t>
      </w:r>
      <w:r w:rsidRPr="00F072BB">
        <w:rPr>
          <w:i/>
          <w:lang w:val="pt-BR"/>
        </w:rPr>
        <w:t>safe harbour</w:t>
      </w:r>
      <w:r w:rsidRPr="00F072BB">
        <w:rPr>
          <w:lang w:val="pt-BR"/>
        </w:rPr>
        <w:t xml:space="preserve">, adotado de maneira unilateral ou bilateral, não é de forma alguma vinculativo ou precedente para países que não adotaram o </w:t>
      </w:r>
      <w:r w:rsidRPr="00F072BB">
        <w:rPr>
          <w:i/>
          <w:lang w:val="pt-BR"/>
        </w:rPr>
        <w:t>safe harbour</w:t>
      </w:r>
      <w:r w:rsidRPr="00F072BB">
        <w:rPr>
          <w:lang w:val="pt-BR"/>
        </w:rPr>
        <w:t>.</w:t>
      </w:r>
    </w:p>
    <w:p w14:paraId="67F5E61A" w14:textId="00A45BB0" w:rsidR="008748F0" w:rsidRPr="00F072BB" w:rsidRDefault="008748F0" w:rsidP="008748F0">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Para questões mais complexas e de maio risco de preço de transferência, é improvável que </w:t>
      </w:r>
      <w:r w:rsidRPr="00F072BB">
        <w:rPr>
          <w:i/>
          <w:lang w:val="pt-BR"/>
        </w:rPr>
        <w:t>safe harbours</w:t>
      </w:r>
      <w:r w:rsidRPr="00F072BB">
        <w:rPr>
          <w:lang w:val="pt-BR"/>
        </w:rPr>
        <w:t xml:space="preserve"> forneçam uma alternativa viável a uma aplicação rigorosa, caso a caso, do princípio </w:t>
      </w:r>
      <w:r w:rsidRPr="00F072BB">
        <w:rPr>
          <w:i/>
          <w:lang w:val="pt-BR"/>
        </w:rPr>
        <w:t>arm’s length</w:t>
      </w:r>
      <w:r w:rsidRPr="00F072BB">
        <w:rPr>
          <w:lang w:val="pt-BR"/>
        </w:rPr>
        <w:t xml:space="preserve"> de acordo com as disposições destas Diretrizes.</w:t>
      </w:r>
    </w:p>
    <w:p w14:paraId="77944E17" w14:textId="0CF43725" w:rsidR="008748F0" w:rsidRPr="00F072BB" w:rsidRDefault="008748F0" w:rsidP="008748F0">
      <w:pPr>
        <w:pStyle w:val="Num-DocParagraph"/>
        <w:numPr>
          <w:ilvl w:val="0"/>
          <w:numId w:val="13"/>
        </w:numPr>
        <w:tabs>
          <w:tab w:val="clear" w:pos="850"/>
          <w:tab w:val="clear" w:pos="1191"/>
          <w:tab w:val="left" w:pos="720"/>
          <w:tab w:val="left" w:pos="1560"/>
        </w:tabs>
        <w:ind w:right="556" w:hanging="11"/>
        <w:rPr>
          <w:lang w:val="pt-BR"/>
        </w:rPr>
      </w:pPr>
      <w:r w:rsidRPr="00F072BB">
        <w:rPr>
          <w:lang w:val="pt-BR"/>
        </w:rPr>
        <w:t xml:space="preserve">As administrações tributárias dos países devem ponderar cuidadosamente os benefícios e preocupações com relação aos </w:t>
      </w:r>
      <w:r w:rsidRPr="00F072BB">
        <w:rPr>
          <w:i/>
          <w:lang w:val="pt-BR"/>
        </w:rPr>
        <w:t>safe harbours</w:t>
      </w:r>
      <w:r w:rsidRPr="00F072BB">
        <w:rPr>
          <w:lang w:val="pt-BR"/>
        </w:rPr>
        <w:t>, fazendo uso dessas disposições quando julgarem apropriado.</w:t>
      </w:r>
    </w:p>
    <w:sectPr w:rsidR="008748F0" w:rsidRPr="00F072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27466" w14:textId="77777777" w:rsidR="00E13B30" w:rsidRDefault="00E13B30" w:rsidP="00817E6D">
      <w:r>
        <w:separator/>
      </w:r>
    </w:p>
  </w:endnote>
  <w:endnote w:type="continuationSeparator" w:id="0">
    <w:p w14:paraId="3FC1EB4F" w14:textId="77777777" w:rsidR="00E13B30" w:rsidRDefault="00E13B30" w:rsidP="0081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033559"/>
      <w:docPartObj>
        <w:docPartGallery w:val="Page Numbers (Bottom of Page)"/>
        <w:docPartUnique/>
      </w:docPartObj>
    </w:sdtPr>
    <w:sdtEndPr>
      <w:rPr>
        <w:rFonts w:ascii="Arial" w:hAnsi="Arial" w:cs="Arial"/>
        <w:noProof/>
      </w:rPr>
    </w:sdtEndPr>
    <w:sdtContent>
      <w:p w14:paraId="7E845A2D" w14:textId="15830704" w:rsidR="00EE4A79" w:rsidRPr="00EE4A79" w:rsidRDefault="00EE4A79">
        <w:pPr>
          <w:pStyle w:val="Footer"/>
          <w:jc w:val="right"/>
          <w:rPr>
            <w:rFonts w:ascii="Arial" w:hAnsi="Arial" w:cs="Arial"/>
          </w:rPr>
        </w:pPr>
        <w:r w:rsidRPr="00EE4A79">
          <w:rPr>
            <w:rFonts w:ascii="Arial" w:hAnsi="Arial" w:cs="Arial"/>
          </w:rPr>
          <w:fldChar w:fldCharType="begin"/>
        </w:r>
        <w:r w:rsidRPr="00EE4A79">
          <w:rPr>
            <w:rFonts w:ascii="Arial" w:hAnsi="Arial" w:cs="Arial"/>
          </w:rPr>
          <w:instrText xml:space="preserve"> PAGE   \* MERGEFORMAT </w:instrText>
        </w:r>
        <w:r w:rsidRPr="00EE4A79">
          <w:rPr>
            <w:rFonts w:ascii="Arial" w:hAnsi="Arial" w:cs="Arial"/>
          </w:rPr>
          <w:fldChar w:fldCharType="separate"/>
        </w:r>
        <w:r w:rsidR="00A87460">
          <w:rPr>
            <w:rFonts w:ascii="Arial" w:hAnsi="Arial" w:cs="Arial"/>
            <w:noProof/>
          </w:rPr>
          <w:t>1</w:t>
        </w:r>
        <w:r w:rsidRPr="00EE4A79">
          <w:rPr>
            <w:rFonts w:ascii="Arial" w:hAnsi="Arial" w:cs="Arial"/>
            <w:noProof/>
          </w:rPr>
          <w:fldChar w:fldCharType="end"/>
        </w:r>
      </w:p>
    </w:sdtContent>
  </w:sdt>
  <w:p w14:paraId="6FD357EB" w14:textId="77777777" w:rsidR="002D4EFF" w:rsidRDefault="002D4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09A22" w14:textId="77777777" w:rsidR="00E13B30" w:rsidRDefault="00E13B30" w:rsidP="00817E6D">
      <w:r>
        <w:separator/>
      </w:r>
    </w:p>
  </w:footnote>
  <w:footnote w:type="continuationSeparator" w:id="0">
    <w:p w14:paraId="784F74DD" w14:textId="77777777" w:rsidR="00E13B30" w:rsidRDefault="00E13B30" w:rsidP="00817E6D">
      <w:r>
        <w:continuationSeparator/>
      </w:r>
    </w:p>
  </w:footnote>
  <w:footnote w:id="1">
    <w:p w14:paraId="34EFDC97" w14:textId="7B92A44D" w:rsidR="009B51CF" w:rsidRPr="00E65380" w:rsidRDefault="009B51CF">
      <w:pPr>
        <w:pStyle w:val="FootnoteText"/>
        <w:rPr>
          <w:rFonts w:ascii="Arial" w:hAnsi="Arial" w:cs="Arial"/>
          <w:lang w:val="pt-BR"/>
        </w:rPr>
      </w:pPr>
      <w:r w:rsidRPr="00E65380">
        <w:rPr>
          <w:rStyle w:val="FootnoteReference"/>
          <w:rFonts w:ascii="Arial" w:hAnsi="Arial" w:cs="Arial"/>
        </w:rPr>
        <w:footnoteRef/>
      </w:r>
      <w:r w:rsidRPr="00E65380">
        <w:rPr>
          <w:rFonts w:ascii="Arial" w:hAnsi="Arial" w:cs="Arial"/>
          <w:lang w:val="pt-BR"/>
        </w:rPr>
        <w:t xml:space="preserve"> Uma brochura contendo as principais informações do relatório também está disponível em </w:t>
      </w:r>
      <w:hyperlink r:id="rId1" w:history="1">
        <w:r w:rsidRPr="00E65380">
          <w:rPr>
            <w:rStyle w:val="Hyperlink"/>
            <w:rFonts w:ascii="Arial" w:hAnsi="Arial" w:cs="Arial"/>
            <w:lang w:val="pt-BR"/>
          </w:rPr>
          <w:t>inglês</w:t>
        </w:r>
      </w:hyperlink>
      <w:r w:rsidRPr="00E65380">
        <w:rPr>
          <w:rFonts w:ascii="Arial" w:hAnsi="Arial" w:cs="Arial"/>
          <w:lang w:val="pt-BR"/>
        </w:rPr>
        <w:t xml:space="preserve"> e </w:t>
      </w:r>
      <w:hyperlink r:id="rId2" w:history="1">
        <w:r w:rsidRPr="00E65380">
          <w:rPr>
            <w:rStyle w:val="Hyperlink"/>
            <w:rFonts w:ascii="Arial" w:hAnsi="Arial" w:cs="Arial"/>
            <w:lang w:val="pt-BR"/>
          </w:rPr>
          <w:t>português</w:t>
        </w:r>
      </w:hyperlink>
      <w:r w:rsidRPr="00E65380">
        <w:rPr>
          <w:rFonts w:ascii="Arial" w:hAnsi="Arial" w:cs="Arial"/>
          <w:lang w:val="pt-BR"/>
        </w:rPr>
        <w:t>.</w:t>
      </w:r>
    </w:p>
  </w:footnote>
  <w:footnote w:id="2">
    <w:p w14:paraId="2E3D4331" w14:textId="6B07C41D" w:rsidR="009B51CF" w:rsidRPr="00E65380" w:rsidRDefault="009B51CF">
      <w:pPr>
        <w:pStyle w:val="FootnoteText"/>
        <w:rPr>
          <w:rFonts w:ascii="Arial" w:hAnsi="Arial" w:cs="Arial"/>
        </w:rPr>
      </w:pPr>
      <w:r w:rsidRPr="00E65380">
        <w:rPr>
          <w:rStyle w:val="FootnoteReference"/>
          <w:rFonts w:ascii="Arial" w:hAnsi="Arial" w:cs="Arial"/>
        </w:rPr>
        <w:footnoteRef/>
      </w:r>
      <w:r w:rsidRPr="00E65380">
        <w:rPr>
          <w:rFonts w:ascii="Arial" w:hAnsi="Arial" w:cs="Arial"/>
        </w:rPr>
        <w:t xml:space="preserve"> OECD (2017), </w:t>
      </w:r>
      <w:r w:rsidRPr="00E65380">
        <w:rPr>
          <w:rFonts w:ascii="Arial" w:hAnsi="Arial" w:cs="Arial"/>
          <w:i/>
          <w:iCs/>
        </w:rPr>
        <w:t>OECD Transfer Pricing Guidelines for Multinational Enterprises and Tax Administrations 2017</w:t>
      </w:r>
      <w:r w:rsidRPr="00E65380">
        <w:rPr>
          <w:rFonts w:ascii="Arial" w:hAnsi="Arial" w:cs="Arial"/>
        </w:rPr>
        <w:t>, OECD Publishing, Paris, </w:t>
      </w:r>
      <w:hyperlink r:id="rId3" w:history="1">
        <w:r w:rsidRPr="00E65380">
          <w:rPr>
            <w:rStyle w:val="Hyperlink"/>
            <w:rFonts w:ascii="Arial" w:hAnsi="Arial" w:cs="Arial"/>
          </w:rPr>
          <w:t>https://doi.org/10.1787/tpg-2017-en</w:t>
        </w:r>
      </w:hyperlink>
      <w:r w:rsidRPr="00E65380">
        <w:rPr>
          <w:rFonts w:ascii="Arial" w:hAnsi="Arial" w:cs="Arial"/>
        </w:rPr>
        <w:t>.</w:t>
      </w:r>
    </w:p>
  </w:footnote>
  <w:footnote w:id="3">
    <w:p w14:paraId="555953C7" w14:textId="65441C67" w:rsidR="00D858D3" w:rsidRPr="00E65380" w:rsidRDefault="00D858D3">
      <w:pPr>
        <w:pStyle w:val="FootnoteText"/>
        <w:rPr>
          <w:rFonts w:ascii="Arial" w:hAnsi="Arial" w:cs="Arial"/>
          <w:lang w:val="pt-BR"/>
        </w:rPr>
      </w:pPr>
      <w:r w:rsidRPr="00E65380">
        <w:rPr>
          <w:rStyle w:val="FootnoteReference"/>
          <w:rFonts w:ascii="Arial" w:hAnsi="Arial" w:cs="Arial"/>
        </w:rPr>
        <w:footnoteRef/>
      </w:r>
      <w:r w:rsidRPr="00E65380">
        <w:rPr>
          <w:rFonts w:ascii="Arial" w:hAnsi="Arial" w:cs="Arial"/>
          <w:lang w:val="pt-BR"/>
        </w:rPr>
        <w:t xml:space="preserve"> Parágrafo 4.101 das Diretrizes da OCDE.</w:t>
      </w:r>
    </w:p>
  </w:footnote>
  <w:footnote w:id="4">
    <w:p w14:paraId="76210038" w14:textId="136791ED" w:rsidR="009B51CF" w:rsidRPr="00E65380" w:rsidRDefault="009B51CF">
      <w:pPr>
        <w:pStyle w:val="FootnoteText"/>
        <w:rPr>
          <w:rFonts w:ascii="Arial" w:hAnsi="Arial" w:cs="Arial"/>
          <w:lang w:val="pt-BR"/>
        </w:rPr>
      </w:pPr>
      <w:r w:rsidRPr="00E65380">
        <w:rPr>
          <w:rStyle w:val="FootnoteReference"/>
          <w:rFonts w:ascii="Arial" w:hAnsi="Arial" w:cs="Arial"/>
        </w:rPr>
        <w:footnoteRef/>
      </w:r>
      <w:r w:rsidRPr="00E65380">
        <w:rPr>
          <w:rFonts w:ascii="Arial" w:hAnsi="Arial" w:cs="Arial"/>
          <w:lang w:val="pt-BR"/>
        </w:rPr>
        <w:t xml:space="preserve"> Foi aprovado pela Comissão de Assuntos Fiscais em 26 de abril de 2013 e pelo Conselho da OCDE em 16 de maio de 2013. A Recomendação do Conselho sobre a Determinação dos Preços de Transferência entre Empresas Associadas [</w:t>
      </w:r>
      <w:hyperlink r:id="rId4" w:history="1">
        <w:r w:rsidRPr="00E65380">
          <w:rPr>
            <w:rStyle w:val="Hyperlink"/>
            <w:rFonts w:ascii="Arial" w:hAnsi="Arial" w:cs="Arial"/>
            <w:lang w:val="pt-BR"/>
          </w:rPr>
          <w:t>C (95) 126 / FINAL</w:t>
        </w:r>
      </w:hyperlink>
      <w:r w:rsidRPr="00E65380">
        <w:rPr>
          <w:rFonts w:ascii="Arial" w:hAnsi="Arial" w:cs="Arial"/>
          <w:lang w:val="pt-BR"/>
        </w:rPr>
        <w:t xml:space="preserve">] foi alterada em 16 Maio de 2013, para levar em consideração a revisão do relatório sobre </w:t>
      </w:r>
      <w:r w:rsidRPr="00E65380">
        <w:rPr>
          <w:rFonts w:ascii="Arial" w:hAnsi="Arial" w:cs="Arial"/>
          <w:i/>
          <w:lang w:val="pt-BR"/>
        </w:rPr>
        <w:t>safe harbours</w:t>
      </w:r>
      <w:r w:rsidRPr="00E65380">
        <w:rPr>
          <w:rFonts w:ascii="Arial" w:hAnsi="Arial" w:cs="Arial"/>
          <w:lang w:val="pt-BR"/>
        </w:rPr>
        <w:t xml:space="preserve"> (disponível em: </w:t>
      </w:r>
      <w:hyperlink r:id="rId5" w:history="1">
        <w:r w:rsidRPr="00E65380">
          <w:rPr>
            <w:rStyle w:val="Hyperlink"/>
            <w:rFonts w:ascii="Arial" w:hAnsi="Arial" w:cs="Arial"/>
            <w:lang w:val="pt-BR"/>
          </w:rPr>
          <w:t>https://www.oecd.org/tax/transfer-pricing/Revised-Section-E-Safe-Harbours-TP-Guidelines.pdf</w:t>
        </w:r>
      </w:hyperlink>
      <w:r w:rsidRPr="00E65380">
        <w:rPr>
          <w:rFonts w:ascii="Arial" w:hAnsi="Arial" w:cs="Arial"/>
          <w:lang w:val="pt-BR"/>
        </w:rPr>
        <w:t>), que substituiu a Seção E capítulo IV das Diretrizes para preços de transferência para empresas multinacionais e administrações tributárias.</w:t>
      </w:r>
    </w:p>
  </w:footnote>
  <w:footnote w:id="5">
    <w:p w14:paraId="733AD81F" w14:textId="791EF147" w:rsidR="009B51CF" w:rsidRPr="00E65380" w:rsidRDefault="009B51CF">
      <w:pPr>
        <w:pStyle w:val="FootnoteText"/>
        <w:rPr>
          <w:rFonts w:ascii="Arial" w:hAnsi="Arial" w:cs="Arial"/>
          <w:lang w:val="pt-BR"/>
        </w:rPr>
      </w:pPr>
      <w:r w:rsidRPr="00E65380">
        <w:rPr>
          <w:rStyle w:val="FootnoteReference"/>
          <w:rFonts w:ascii="Arial" w:hAnsi="Arial" w:cs="Arial"/>
        </w:rPr>
        <w:footnoteRef/>
      </w:r>
      <w:r w:rsidRPr="00E65380">
        <w:rPr>
          <w:rFonts w:ascii="Arial" w:hAnsi="Arial" w:cs="Arial"/>
          <w:lang w:val="pt-BR"/>
        </w:rPr>
        <w:t xml:space="preserve"> Veja parágrafo 4.98 das Diretrizes da OCDE.</w:t>
      </w:r>
    </w:p>
  </w:footnote>
  <w:footnote w:id="6">
    <w:p w14:paraId="1474BB1B" w14:textId="054DF87C" w:rsidR="009B51CF" w:rsidRPr="002E224E" w:rsidRDefault="009B51CF">
      <w:pPr>
        <w:pStyle w:val="FootnoteText"/>
        <w:rPr>
          <w:lang w:val="pt-BR"/>
        </w:rPr>
      </w:pPr>
      <w:r>
        <w:rPr>
          <w:rStyle w:val="FootnoteReference"/>
        </w:rPr>
        <w:footnoteRef/>
      </w:r>
      <w:r w:rsidRPr="002E224E">
        <w:rPr>
          <w:lang w:val="pt-BR"/>
        </w:rPr>
        <w:t xml:space="preserve"> </w:t>
      </w:r>
      <w:r w:rsidRPr="002E224E">
        <w:rPr>
          <w:rFonts w:ascii="Arial" w:hAnsi="Arial" w:cs="Arial"/>
          <w:lang w:val="pt-BR"/>
        </w:rPr>
        <w:t xml:space="preserve">Veja parágrafo </w:t>
      </w:r>
      <w:r>
        <w:rPr>
          <w:rFonts w:ascii="Arial" w:hAnsi="Arial" w:cs="Arial"/>
          <w:lang w:val="pt-BR"/>
        </w:rPr>
        <w:t>4.97</w:t>
      </w:r>
      <w:r w:rsidRPr="002E224E">
        <w:rPr>
          <w:rFonts w:ascii="Arial" w:hAnsi="Arial" w:cs="Arial"/>
          <w:lang w:val="pt-BR"/>
        </w:rPr>
        <w:t xml:space="preserve"> das Diretrizes da OCDE</w:t>
      </w:r>
      <w:r>
        <w:rPr>
          <w:rFonts w:ascii="Arial" w:hAnsi="Arial" w:cs="Arial"/>
          <w:lang w:val="pt-BR"/>
        </w:rPr>
        <w:t>.</w:t>
      </w:r>
    </w:p>
  </w:footnote>
  <w:footnote w:id="7">
    <w:p w14:paraId="5B9210F4" w14:textId="44B3DFAB" w:rsidR="009B51CF" w:rsidRPr="00E65380" w:rsidRDefault="009B51CF">
      <w:pPr>
        <w:pStyle w:val="FootnoteText"/>
        <w:rPr>
          <w:rFonts w:ascii="Arial" w:hAnsi="Arial" w:cs="Arial"/>
          <w:lang w:val="pt-BR"/>
        </w:rPr>
      </w:pPr>
      <w:r w:rsidRPr="00E65380">
        <w:rPr>
          <w:rStyle w:val="FootnoteReference"/>
          <w:rFonts w:ascii="Arial" w:hAnsi="Arial" w:cs="Arial"/>
        </w:rPr>
        <w:footnoteRef/>
      </w:r>
      <w:r w:rsidRPr="00E65380">
        <w:rPr>
          <w:rFonts w:ascii="Arial" w:hAnsi="Arial" w:cs="Arial"/>
          <w:lang w:val="pt-BR"/>
        </w:rPr>
        <w:t xml:space="preserve"> Veja parágrafo 4.99 das Diretrizes da OCDE.</w:t>
      </w:r>
    </w:p>
  </w:footnote>
  <w:footnote w:id="8">
    <w:p w14:paraId="7B5D7AC8" w14:textId="2C3DE60F" w:rsidR="00F6360D" w:rsidRPr="00E65380" w:rsidRDefault="00F6360D">
      <w:pPr>
        <w:pStyle w:val="FootnoteText"/>
        <w:rPr>
          <w:rFonts w:ascii="Arial" w:hAnsi="Arial" w:cs="Arial"/>
          <w:lang w:val="pt-BR"/>
        </w:rPr>
      </w:pPr>
      <w:r w:rsidRPr="00E65380">
        <w:rPr>
          <w:rStyle w:val="FootnoteReference"/>
          <w:rFonts w:ascii="Arial" w:hAnsi="Arial" w:cs="Arial"/>
        </w:rPr>
        <w:footnoteRef/>
      </w:r>
      <w:r w:rsidRPr="00E65380">
        <w:rPr>
          <w:rFonts w:ascii="Arial" w:hAnsi="Arial" w:cs="Arial"/>
          <w:lang w:val="pt-BR"/>
        </w:rPr>
        <w:t xml:space="preserve"> Veja o paragrafo 4.132 das Diretrizes da OCDE.</w:t>
      </w:r>
    </w:p>
  </w:footnote>
  <w:footnote w:id="9">
    <w:p w14:paraId="0DF021C3" w14:textId="566B266F" w:rsidR="00D858D3" w:rsidRPr="00F6360D" w:rsidRDefault="00D858D3">
      <w:pPr>
        <w:pStyle w:val="FootnoteText"/>
        <w:rPr>
          <w:rFonts w:ascii="Arial" w:hAnsi="Arial" w:cs="Arial"/>
          <w:lang w:val="pt-BR"/>
        </w:rPr>
      </w:pPr>
      <w:r w:rsidRPr="00F6360D">
        <w:rPr>
          <w:rStyle w:val="FootnoteReference"/>
          <w:rFonts w:ascii="Arial" w:hAnsi="Arial" w:cs="Arial"/>
        </w:rPr>
        <w:footnoteRef/>
      </w:r>
      <w:r w:rsidRPr="00F6360D">
        <w:rPr>
          <w:rFonts w:ascii="Arial" w:hAnsi="Arial" w:cs="Arial"/>
          <w:lang w:val="pt-BR"/>
        </w:rPr>
        <w:t xml:space="preserve"> Veja o parágrafo 3.36 das Diretrizes da OCDE. Consulte também a Seção 4.1.1 da Parte I do PCT </w:t>
      </w:r>
      <w:r w:rsidRPr="00F6360D">
        <w:rPr>
          <w:rFonts w:ascii="Arial" w:hAnsi="Arial" w:cs="Arial"/>
          <w:i/>
          <w:lang w:val="pt-BR"/>
        </w:rPr>
        <w:t>Toolkit</w:t>
      </w:r>
      <w:r w:rsidRPr="00F6360D">
        <w:rPr>
          <w:rFonts w:ascii="Arial" w:hAnsi="Arial" w:cs="Arial"/>
          <w:lang w:val="pt-BR"/>
        </w:rPr>
        <w:t xml:space="preserve"> para solucionar dificuldades no acesso a dados comparáveis para análises de preços de transferência.</w:t>
      </w:r>
    </w:p>
  </w:footnote>
  <w:footnote w:id="10">
    <w:p w14:paraId="0F6A704E" w14:textId="01052583" w:rsidR="00F6360D" w:rsidRPr="00F6360D" w:rsidRDefault="00F6360D">
      <w:pPr>
        <w:pStyle w:val="FootnoteText"/>
        <w:rPr>
          <w:lang w:val="pt-BR"/>
        </w:rPr>
      </w:pPr>
      <w:r w:rsidRPr="00F6360D">
        <w:rPr>
          <w:rStyle w:val="FootnoteReference"/>
          <w:rFonts w:ascii="Arial" w:hAnsi="Arial" w:cs="Arial"/>
        </w:rPr>
        <w:footnoteRef/>
      </w:r>
      <w:r w:rsidRPr="00F6360D">
        <w:rPr>
          <w:rFonts w:ascii="Arial" w:hAnsi="Arial" w:cs="Arial"/>
          <w:lang w:val="pt-BR"/>
        </w:rPr>
        <w:t xml:space="preserve"> Veja os paragrafos 3.18-3.19 das Diretrizes da OCDE para mais informações acerca da escolha da parte testada.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0A11"/>
    <w:multiLevelType w:val="hybridMultilevel"/>
    <w:tmpl w:val="C3648866"/>
    <w:lvl w:ilvl="0" w:tplc="1C48365E">
      <w:start w:val="5"/>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8702F"/>
    <w:multiLevelType w:val="hybridMultilevel"/>
    <w:tmpl w:val="C6762082"/>
    <w:lvl w:ilvl="0" w:tplc="90A6A664">
      <w:start w:val="1"/>
      <w:numFmt w:val="decimal"/>
      <w:lvlText w:val="E.3.%1."/>
      <w:lvlJc w:val="left"/>
      <w:pPr>
        <w:ind w:left="1134" w:hanging="20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B10"/>
    <w:multiLevelType w:val="hybridMultilevel"/>
    <w:tmpl w:val="14A42B9A"/>
    <w:lvl w:ilvl="0" w:tplc="CF70780E">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1BC"/>
    <w:multiLevelType w:val="hybridMultilevel"/>
    <w:tmpl w:val="895C29A2"/>
    <w:lvl w:ilvl="0" w:tplc="FB08F1C8">
      <w:start w:val="1"/>
      <w:numFmt w:val="decimal"/>
      <w:lvlText w:val="%1."/>
      <w:lvlJc w:val="left"/>
      <w:pPr>
        <w:ind w:left="1701"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57359"/>
    <w:multiLevelType w:val="hybridMultilevel"/>
    <w:tmpl w:val="73DC2964"/>
    <w:lvl w:ilvl="0" w:tplc="3076A960">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47C96"/>
    <w:multiLevelType w:val="hybridMultilevel"/>
    <w:tmpl w:val="AE2685DC"/>
    <w:lvl w:ilvl="0" w:tplc="0809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479BF"/>
    <w:multiLevelType w:val="hybridMultilevel"/>
    <w:tmpl w:val="B700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822AD"/>
    <w:multiLevelType w:val="hybridMultilevel"/>
    <w:tmpl w:val="239C9864"/>
    <w:lvl w:ilvl="0" w:tplc="F058F9C4">
      <w:start w:val="95"/>
      <w:numFmt w:val="decimal"/>
      <w:lvlText w:val="E.1.%1."/>
      <w:lvlJc w:val="left"/>
      <w:pPr>
        <w:ind w:left="1134"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E79C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0F27FA5"/>
    <w:multiLevelType w:val="hybridMultilevel"/>
    <w:tmpl w:val="D6C4BF0A"/>
    <w:lvl w:ilvl="0" w:tplc="83BEB43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8B0117"/>
    <w:multiLevelType w:val="hybridMultilevel"/>
    <w:tmpl w:val="641C003E"/>
    <w:lvl w:ilvl="0" w:tplc="24C03494">
      <w:start w:val="1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5157BA7"/>
    <w:multiLevelType w:val="hybridMultilevel"/>
    <w:tmpl w:val="F97A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93E0D"/>
    <w:multiLevelType w:val="hybridMultilevel"/>
    <w:tmpl w:val="B9C2D832"/>
    <w:lvl w:ilvl="0" w:tplc="626AFF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C4EDA"/>
    <w:multiLevelType w:val="multilevel"/>
    <w:tmpl w:val="3620CA24"/>
    <w:lvl w:ilvl="0">
      <w:start w:val="95"/>
      <w:numFmt w:val="decimal"/>
      <w:lvlText w:val="4.%1"/>
      <w:lvlJc w:val="left"/>
      <w:pPr>
        <w:ind w:left="567" w:hanging="207"/>
      </w:pPr>
      <w:rPr>
        <w:rFonts w:hint="default"/>
      </w:rPr>
    </w:lvl>
    <w:lvl w:ilvl="1">
      <w:start w:val="1"/>
      <w:numFmt w:val="lowerLetter"/>
      <w:lvlText w:val="%2."/>
      <w:lvlJc w:val="left"/>
      <w:pPr>
        <w:ind w:left="1922" w:hanging="360"/>
      </w:pPr>
      <w:rPr>
        <w:rFonts w:hint="default"/>
      </w:rPr>
    </w:lvl>
    <w:lvl w:ilvl="2">
      <w:start w:val="1"/>
      <w:numFmt w:val="lowerRoman"/>
      <w:lvlText w:val="%3."/>
      <w:lvlJc w:val="right"/>
      <w:pPr>
        <w:ind w:left="2642" w:hanging="180"/>
      </w:pPr>
      <w:rPr>
        <w:rFonts w:hint="default"/>
      </w:rPr>
    </w:lvl>
    <w:lvl w:ilvl="3">
      <w:start w:val="1"/>
      <w:numFmt w:val="decimal"/>
      <w:lvlText w:val="%4."/>
      <w:lvlJc w:val="left"/>
      <w:pPr>
        <w:ind w:left="3362" w:hanging="360"/>
      </w:pPr>
      <w:rPr>
        <w:rFonts w:hint="default"/>
      </w:rPr>
    </w:lvl>
    <w:lvl w:ilvl="4">
      <w:start w:val="1"/>
      <w:numFmt w:val="lowerLetter"/>
      <w:lvlText w:val="%5."/>
      <w:lvlJc w:val="left"/>
      <w:pPr>
        <w:ind w:left="4082" w:hanging="360"/>
      </w:pPr>
      <w:rPr>
        <w:rFonts w:hint="default"/>
      </w:rPr>
    </w:lvl>
    <w:lvl w:ilvl="5">
      <w:start w:val="1"/>
      <w:numFmt w:val="lowerRoman"/>
      <w:lvlText w:val="%6."/>
      <w:lvlJc w:val="right"/>
      <w:pPr>
        <w:ind w:left="4802" w:hanging="180"/>
      </w:pPr>
      <w:rPr>
        <w:rFonts w:hint="default"/>
      </w:rPr>
    </w:lvl>
    <w:lvl w:ilvl="6">
      <w:start w:val="1"/>
      <w:numFmt w:val="decimal"/>
      <w:lvlText w:val="%7."/>
      <w:lvlJc w:val="left"/>
      <w:pPr>
        <w:ind w:left="5522" w:hanging="360"/>
      </w:pPr>
      <w:rPr>
        <w:rFonts w:hint="default"/>
      </w:rPr>
    </w:lvl>
    <w:lvl w:ilvl="7">
      <w:start w:val="1"/>
      <w:numFmt w:val="lowerLetter"/>
      <w:lvlText w:val="%8."/>
      <w:lvlJc w:val="left"/>
      <w:pPr>
        <w:ind w:left="6242" w:hanging="360"/>
      </w:pPr>
      <w:rPr>
        <w:rFonts w:hint="default"/>
      </w:rPr>
    </w:lvl>
    <w:lvl w:ilvl="8">
      <w:start w:val="1"/>
      <w:numFmt w:val="lowerRoman"/>
      <w:lvlText w:val="%9."/>
      <w:lvlJc w:val="right"/>
      <w:pPr>
        <w:ind w:left="6962" w:hanging="180"/>
      </w:pPr>
      <w:rPr>
        <w:rFonts w:hint="default"/>
      </w:rPr>
    </w:lvl>
  </w:abstractNum>
  <w:abstractNum w:abstractNumId="14" w15:restartNumberingAfterBreak="0">
    <w:nsid w:val="57260947"/>
    <w:multiLevelType w:val="hybridMultilevel"/>
    <w:tmpl w:val="3C4207C8"/>
    <w:lvl w:ilvl="0" w:tplc="ECB43ADE">
      <w:start w:val="1"/>
      <w:numFmt w:val="decimal"/>
      <w:lvlText w:val="E.4.%1."/>
      <w:lvlJc w:val="left"/>
      <w:pPr>
        <w:ind w:left="1134"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BA28A7"/>
    <w:multiLevelType w:val="hybridMultilevel"/>
    <w:tmpl w:val="463E4772"/>
    <w:lvl w:ilvl="0" w:tplc="AA9EE058">
      <w:start w:val="1"/>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5666F6"/>
    <w:multiLevelType w:val="hybridMultilevel"/>
    <w:tmpl w:val="5ED2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E1746C"/>
    <w:multiLevelType w:val="hybridMultilevel"/>
    <w:tmpl w:val="4EB0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20461"/>
    <w:multiLevelType w:val="hybridMultilevel"/>
    <w:tmpl w:val="638A2E84"/>
    <w:lvl w:ilvl="0" w:tplc="8F82EA3E">
      <w:start w:val="1"/>
      <w:numFmt w:val="bullet"/>
      <w:pStyle w:val="ListBullet"/>
      <w:lvlText w:val=""/>
      <w:lvlJc w:val="left"/>
      <w:pPr>
        <w:tabs>
          <w:tab w:val="num" w:pos="1192"/>
        </w:tabs>
        <w:ind w:left="1192" w:hanging="341"/>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6"/>
  </w:num>
  <w:num w:numId="4">
    <w:abstractNumId w:val="11"/>
  </w:num>
  <w:num w:numId="5">
    <w:abstractNumId w:val="17"/>
  </w:num>
  <w:num w:numId="6">
    <w:abstractNumId w:val="16"/>
  </w:num>
  <w:num w:numId="7">
    <w:abstractNumId w:val="12"/>
  </w:num>
  <w:num w:numId="8">
    <w:abstractNumId w:val="10"/>
  </w:num>
  <w:num w:numId="9">
    <w:abstractNumId w:val="4"/>
  </w:num>
  <w:num w:numId="10">
    <w:abstractNumId w:val="0"/>
  </w:num>
  <w:num w:numId="11">
    <w:abstractNumId w:val="2"/>
  </w:num>
  <w:num w:numId="12">
    <w:abstractNumId w:val="9"/>
  </w:num>
  <w:num w:numId="13">
    <w:abstractNumId w:val="13"/>
  </w:num>
  <w:num w:numId="14">
    <w:abstractNumId w:val="7"/>
  </w:num>
  <w:num w:numId="15">
    <w:abstractNumId w:val="1"/>
  </w:num>
  <w:num w:numId="16">
    <w:abstractNumId w:val="14"/>
  </w:num>
  <w:num w:numId="17">
    <w:abstractNumId w:val="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A1"/>
    <w:rsid w:val="0000143C"/>
    <w:rsid w:val="00005498"/>
    <w:rsid w:val="00007B03"/>
    <w:rsid w:val="000229D5"/>
    <w:rsid w:val="00024A9C"/>
    <w:rsid w:val="00024F37"/>
    <w:rsid w:val="00025433"/>
    <w:rsid w:val="00026005"/>
    <w:rsid w:val="00026E20"/>
    <w:rsid w:val="00031035"/>
    <w:rsid w:val="0003265F"/>
    <w:rsid w:val="000334B4"/>
    <w:rsid w:val="00046B04"/>
    <w:rsid w:val="00053194"/>
    <w:rsid w:val="00054277"/>
    <w:rsid w:val="000575E2"/>
    <w:rsid w:val="00066901"/>
    <w:rsid w:val="0007151C"/>
    <w:rsid w:val="00073885"/>
    <w:rsid w:val="0008359C"/>
    <w:rsid w:val="0009048C"/>
    <w:rsid w:val="00097292"/>
    <w:rsid w:val="000A6B1F"/>
    <w:rsid w:val="000B2C69"/>
    <w:rsid w:val="000B744D"/>
    <w:rsid w:val="000D4B34"/>
    <w:rsid w:val="000D783F"/>
    <w:rsid w:val="001032BE"/>
    <w:rsid w:val="00110DC1"/>
    <w:rsid w:val="00114FF5"/>
    <w:rsid w:val="00123483"/>
    <w:rsid w:val="00144EBF"/>
    <w:rsid w:val="00151652"/>
    <w:rsid w:val="00156492"/>
    <w:rsid w:val="00163C67"/>
    <w:rsid w:val="00165D95"/>
    <w:rsid w:val="00171717"/>
    <w:rsid w:val="00182EA1"/>
    <w:rsid w:val="00184294"/>
    <w:rsid w:val="001A13FB"/>
    <w:rsid w:val="001A5470"/>
    <w:rsid w:val="001A61E9"/>
    <w:rsid w:val="001B1A32"/>
    <w:rsid w:val="001B1EF3"/>
    <w:rsid w:val="001B230F"/>
    <w:rsid w:val="001B49CB"/>
    <w:rsid w:val="001C1C1D"/>
    <w:rsid w:val="001D19C6"/>
    <w:rsid w:val="001E5136"/>
    <w:rsid w:val="001E7DC9"/>
    <w:rsid w:val="001F2BE6"/>
    <w:rsid w:val="002061AA"/>
    <w:rsid w:val="00213E5B"/>
    <w:rsid w:val="0021694D"/>
    <w:rsid w:val="002248A7"/>
    <w:rsid w:val="00230F71"/>
    <w:rsid w:val="00241678"/>
    <w:rsid w:val="002512B9"/>
    <w:rsid w:val="00260466"/>
    <w:rsid w:val="00263D55"/>
    <w:rsid w:val="00265023"/>
    <w:rsid w:val="002735A2"/>
    <w:rsid w:val="002736C0"/>
    <w:rsid w:val="00274F73"/>
    <w:rsid w:val="00281E98"/>
    <w:rsid w:val="00283ABA"/>
    <w:rsid w:val="002855F2"/>
    <w:rsid w:val="002927C1"/>
    <w:rsid w:val="002A06C7"/>
    <w:rsid w:val="002B1853"/>
    <w:rsid w:val="002B3448"/>
    <w:rsid w:val="002B36FE"/>
    <w:rsid w:val="002B4357"/>
    <w:rsid w:val="002B564D"/>
    <w:rsid w:val="002B6626"/>
    <w:rsid w:val="002B72FA"/>
    <w:rsid w:val="002C2C08"/>
    <w:rsid w:val="002C680D"/>
    <w:rsid w:val="002D20D2"/>
    <w:rsid w:val="002D4EFF"/>
    <w:rsid w:val="002D540C"/>
    <w:rsid w:val="002E224E"/>
    <w:rsid w:val="002F4903"/>
    <w:rsid w:val="002F6CEA"/>
    <w:rsid w:val="00312493"/>
    <w:rsid w:val="003239BA"/>
    <w:rsid w:val="00325DD3"/>
    <w:rsid w:val="00327B46"/>
    <w:rsid w:val="00330293"/>
    <w:rsid w:val="00330519"/>
    <w:rsid w:val="00331258"/>
    <w:rsid w:val="00334077"/>
    <w:rsid w:val="00345744"/>
    <w:rsid w:val="00350A7B"/>
    <w:rsid w:val="00352EEC"/>
    <w:rsid w:val="00357443"/>
    <w:rsid w:val="00362952"/>
    <w:rsid w:val="00367D87"/>
    <w:rsid w:val="00393F45"/>
    <w:rsid w:val="00396E9A"/>
    <w:rsid w:val="003A15AB"/>
    <w:rsid w:val="003A2CF5"/>
    <w:rsid w:val="003B0D8D"/>
    <w:rsid w:val="003B2559"/>
    <w:rsid w:val="003B574E"/>
    <w:rsid w:val="003C4EE2"/>
    <w:rsid w:val="003D0BB8"/>
    <w:rsid w:val="003D0F63"/>
    <w:rsid w:val="003D6933"/>
    <w:rsid w:val="003D6EF7"/>
    <w:rsid w:val="003D7086"/>
    <w:rsid w:val="003F1002"/>
    <w:rsid w:val="003F176E"/>
    <w:rsid w:val="003F2BE2"/>
    <w:rsid w:val="003F2FEE"/>
    <w:rsid w:val="003F339E"/>
    <w:rsid w:val="004025AC"/>
    <w:rsid w:val="00402FA5"/>
    <w:rsid w:val="00403E74"/>
    <w:rsid w:val="0040604B"/>
    <w:rsid w:val="00423A1A"/>
    <w:rsid w:val="00423BEF"/>
    <w:rsid w:val="00434041"/>
    <w:rsid w:val="00441EF0"/>
    <w:rsid w:val="00445B23"/>
    <w:rsid w:val="004476D2"/>
    <w:rsid w:val="004503AD"/>
    <w:rsid w:val="00451BD8"/>
    <w:rsid w:val="00453998"/>
    <w:rsid w:val="00457BCD"/>
    <w:rsid w:val="004625D5"/>
    <w:rsid w:val="00467F01"/>
    <w:rsid w:val="004738A7"/>
    <w:rsid w:val="00473E6D"/>
    <w:rsid w:val="0047738F"/>
    <w:rsid w:val="00480E5E"/>
    <w:rsid w:val="00497B8F"/>
    <w:rsid w:val="00497BA3"/>
    <w:rsid w:val="004A5C1E"/>
    <w:rsid w:val="004A72DA"/>
    <w:rsid w:val="004A7BB5"/>
    <w:rsid w:val="004B4A35"/>
    <w:rsid w:val="004B4DEF"/>
    <w:rsid w:val="004B757F"/>
    <w:rsid w:val="004C15D1"/>
    <w:rsid w:val="004C2D66"/>
    <w:rsid w:val="004D1BB1"/>
    <w:rsid w:val="004D25AA"/>
    <w:rsid w:val="004D435D"/>
    <w:rsid w:val="004D67AD"/>
    <w:rsid w:val="004D75F8"/>
    <w:rsid w:val="004E094D"/>
    <w:rsid w:val="004E205C"/>
    <w:rsid w:val="004F41F3"/>
    <w:rsid w:val="00517935"/>
    <w:rsid w:val="00524BD5"/>
    <w:rsid w:val="00524CF3"/>
    <w:rsid w:val="00531A30"/>
    <w:rsid w:val="00536971"/>
    <w:rsid w:val="00547A1E"/>
    <w:rsid w:val="0055462C"/>
    <w:rsid w:val="0056280C"/>
    <w:rsid w:val="0056530C"/>
    <w:rsid w:val="00566758"/>
    <w:rsid w:val="005671B0"/>
    <w:rsid w:val="0057349F"/>
    <w:rsid w:val="0057376D"/>
    <w:rsid w:val="00574267"/>
    <w:rsid w:val="00575716"/>
    <w:rsid w:val="00583974"/>
    <w:rsid w:val="00584C46"/>
    <w:rsid w:val="005862DD"/>
    <w:rsid w:val="00590D08"/>
    <w:rsid w:val="0059661C"/>
    <w:rsid w:val="005A4982"/>
    <w:rsid w:val="005A63B2"/>
    <w:rsid w:val="005B254E"/>
    <w:rsid w:val="005B29BA"/>
    <w:rsid w:val="005B595B"/>
    <w:rsid w:val="005B7027"/>
    <w:rsid w:val="005D6671"/>
    <w:rsid w:val="005E3004"/>
    <w:rsid w:val="005F106C"/>
    <w:rsid w:val="005F483C"/>
    <w:rsid w:val="005F54EB"/>
    <w:rsid w:val="0060608C"/>
    <w:rsid w:val="006077A9"/>
    <w:rsid w:val="006104F1"/>
    <w:rsid w:val="00620A7C"/>
    <w:rsid w:val="00641276"/>
    <w:rsid w:val="00642F26"/>
    <w:rsid w:val="00647A8C"/>
    <w:rsid w:val="00663C78"/>
    <w:rsid w:val="006818B6"/>
    <w:rsid w:val="00681DFC"/>
    <w:rsid w:val="00683717"/>
    <w:rsid w:val="00690D1C"/>
    <w:rsid w:val="006B0CEE"/>
    <w:rsid w:val="006B489B"/>
    <w:rsid w:val="006B491E"/>
    <w:rsid w:val="006C1B7C"/>
    <w:rsid w:val="006C3F31"/>
    <w:rsid w:val="006E1B4E"/>
    <w:rsid w:val="006E701D"/>
    <w:rsid w:val="0070605B"/>
    <w:rsid w:val="007062BE"/>
    <w:rsid w:val="00711E91"/>
    <w:rsid w:val="00723FC8"/>
    <w:rsid w:val="00725A93"/>
    <w:rsid w:val="00727A2A"/>
    <w:rsid w:val="00736512"/>
    <w:rsid w:val="00737DB2"/>
    <w:rsid w:val="0074025A"/>
    <w:rsid w:val="007405EE"/>
    <w:rsid w:val="00741F9F"/>
    <w:rsid w:val="00742238"/>
    <w:rsid w:val="00743408"/>
    <w:rsid w:val="00743936"/>
    <w:rsid w:val="00743EEB"/>
    <w:rsid w:val="0074422E"/>
    <w:rsid w:val="0075380C"/>
    <w:rsid w:val="007636ED"/>
    <w:rsid w:val="00764EFF"/>
    <w:rsid w:val="00770401"/>
    <w:rsid w:val="00772966"/>
    <w:rsid w:val="0078381C"/>
    <w:rsid w:val="00785B83"/>
    <w:rsid w:val="007872DA"/>
    <w:rsid w:val="00791375"/>
    <w:rsid w:val="00792850"/>
    <w:rsid w:val="007A20D6"/>
    <w:rsid w:val="007A30F2"/>
    <w:rsid w:val="007A5F6F"/>
    <w:rsid w:val="007A6FBC"/>
    <w:rsid w:val="007A7CBF"/>
    <w:rsid w:val="007C19F3"/>
    <w:rsid w:val="007C34D6"/>
    <w:rsid w:val="007D1A7B"/>
    <w:rsid w:val="007D1D3D"/>
    <w:rsid w:val="007F664E"/>
    <w:rsid w:val="00800832"/>
    <w:rsid w:val="00804775"/>
    <w:rsid w:val="00804E42"/>
    <w:rsid w:val="008057FA"/>
    <w:rsid w:val="008059DD"/>
    <w:rsid w:val="00805BA0"/>
    <w:rsid w:val="0081152B"/>
    <w:rsid w:val="00817E6D"/>
    <w:rsid w:val="00821955"/>
    <w:rsid w:val="0082386A"/>
    <w:rsid w:val="00824C3F"/>
    <w:rsid w:val="00834861"/>
    <w:rsid w:val="00845CED"/>
    <w:rsid w:val="00862B4F"/>
    <w:rsid w:val="00867A7D"/>
    <w:rsid w:val="00870416"/>
    <w:rsid w:val="0087427E"/>
    <w:rsid w:val="008748F0"/>
    <w:rsid w:val="0087646A"/>
    <w:rsid w:val="0088089A"/>
    <w:rsid w:val="00880F52"/>
    <w:rsid w:val="00883E1B"/>
    <w:rsid w:val="008846E6"/>
    <w:rsid w:val="00895AE6"/>
    <w:rsid w:val="008C0DE4"/>
    <w:rsid w:val="008C1CB9"/>
    <w:rsid w:val="008C2EB3"/>
    <w:rsid w:val="008C4A7B"/>
    <w:rsid w:val="008C5CD6"/>
    <w:rsid w:val="008D478B"/>
    <w:rsid w:val="008D7363"/>
    <w:rsid w:val="008E7BD4"/>
    <w:rsid w:val="008F0988"/>
    <w:rsid w:val="008F0F23"/>
    <w:rsid w:val="008F42C8"/>
    <w:rsid w:val="009044F7"/>
    <w:rsid w:val="00913118"/>
    <w:rsid w:val="00924E45"/>
    <w:rsid w:val="009272A9"/>
    <w:rsid w:val="00930829"/>
    <w:rsid w:val="0093376E"/>
    <w:rsid w:val="00934E0A"/>
    <w:rsid w:val="0094112F"/>
    <w:rsid w:val="00944BE2"/>
    <w:rsid w:val="00976620"/>
    <w:rsid w:val="00984F93"/>
    <w:rsid w:val="009A3B11"/>
    <w:rsid w:val="009A5D37"/>
    <w:rsid w:val="009B2709"/>
    <w:rsid w:val="009B40A4"/>
    <w:rsid w:val="009B4B5E"/>
    <w:rsid w:val="009B51CF"/>
    <w:rsid w:val="009C2155"/>
    <w:rsid w:val="009C5EA0"/>
    <w:rsid w:val="009D3E39"/>
    <w:rsid w:val="009E2C70"/>
    <w:rsid w:val="009E3B3C"/>
    <w:rsid w:val="009E7D0E"/>
    <w:rsid w:val="009F03D0"/>
    <w:rsid w:val="009F1674"/>
    <w:rsid w:val="009F214A"/>
    <w:rsid w:val="009F4B31"/>
    <w:rsid w:val="00A02EED"/>
    <w:rsid w:val="00A042FF"/>
    <w:rsid w:val="00A060A5"/>
    <w:rsid w:val="00A10A25"/>
    <w:rsid w:val="00A16688"/>
    <w:rsid w:val="00A1785A"/>
    <w:rsid w:val="00A244E9"/>
    <w:rsid w:val="00A2499D"/>
    <w:rsid w:val="00A24F94"/>
    <w:rsid w:val="00A256BA"/>
    <w:rsid w:val="00A43410"/>
    <w:rsid w:val="00A517FC"/>
    <w:rsid w:val="00A558C3"/>
    <w:rsid w:val="00A566C3"/>
    <w:rsid w:val="00A569A3"/>
    <w:rsid w:val="00A56E32"/>
    <w:rsid w:val="00A62128"/>
    <w:rsid w:val="00A82970"/>
    <w:rsid w:val="00A849A5"/>
    <w:rsid w:val="00A87460"/>
    <w:rsid w:val="00A92565"/>
    <w:rsid w:val="00A946F5"/>
    <w:rsid w:val="00A9491C"/>
    <w:rsid w:val="00AA6357"/>
    <w:rsid w:val="00AA6726"/>
    <w:rsid w:val="00AA695D"/>
    <w:rsid w:val="00AB532C"/>
    <w:rsid w:val="00AB5FDF"/>
    <w:rsid w:val="00AC7295"/>
    <w:rsid w:val="00AC7B9A"/>
    <w:rsid w:val="00AD5DCA"/>
    <w:rsid w:val="00AF5FD8"/>
    <w:rsid w:val="00B000D6"/>
    <w:rsid w:val="00B00958"/>
    <w:rsid w:val="00B019DC"/>
    <w:rsid w:val="00B063A8"/>
    <w:rsid w:val="00B12CF1"/>
    <w:rsid w:val="00B15A7B"/>
    <w:rsid w:val="00B25FEC"/>
    <w:rsid w:val="00B27931"/>
    <w:rsid w:val="00B31A31"/>
    <w:rsid w:val="00B32CCF"/>
    <w:rsid w:val="00B341D6"/>
    <w:rsid w:val="00B3589F"/>
    <w:rsid w:val="00B54547"/>
    <w:rsid w:val="00B549AD"/>
    <w:rsid w:val="00B57320"/>
    <w:rsid w:val="00B57F2F"/>
    <w:rsid w:val="00B61D5D"/>
    <w:rsid w:val="00B621B0"/>
    <w:rsid w:val="00B73136"/>
    <w:rsid w:val="00B76566"/>
    <w:rsid w:val="00B8198D"/>
    <w:rsid w:val="00B86339"/>
    <w:rsid w:val="00B94525"/>
    <w:rsid w:val="00B94A5B"/>
    <w:rsid w:val="00BA21F0"/>
    <w:rsid w:val="00BB1795"/>
    <w:rsid w:val="00BB1ACE"/>
    <w:rsid w:val="00BB51CA"/>
    <w:rsid w:val="00BB63FC"/>
    <w:rsid w:val="00BC5123"/>
    <w:rsid w:val="00BC531F"/>
    <w:rsid w:val="00BD1160"/>
    <w:rsid w:val="00BD372E"/>
    <w:rsid w:val="00BD3BAE"/>
    <w:rsid w:val="00BD56EF"/>
    <w:rsid w:val="00BD6B07"/>
    <w:rsid w:val="00BD70C6"/>
    <w:rsid w:val="00BE64E0"/>
    <w:rsid w:val="00BF66BC"/>
    <w:rsid w:val="00C128A4"/>
    <w:rsid w:val="00C21F7A"/>
    <w:rsid w:val="00C25BB5"/>
    <w:rsid w:val="00C26AE3"/>
    <w:rsid w:val="00C26EF8"/>
    <w:rsid w:val="00C27BD5"/>
    <w:rsid w:val="00C30878"/>
    <w:rsid w:val="00C31640"/>
    <w:rsid w:val="00C3165D"/>
    <w:rsid w:val="00C34188"/>
    <w:rsid w:val="00C351E0"/>
    <w:rsid w:val="00C428BD"/>
    <w:rsid w:val="00C42ADD"/>
    <w:rsid w:val="00C43B8D"/>
    <w:rsid w:val="00C54759"/>
    <w:rsid w:val="00C55465"/>
    <w:rsid w:val="00C5687F"/>
    <w:rsid w:val="00C60A25"/>
    <w:rsid w:val="00C67D39"/>
    <w:rsid w:val="00C71A19"/>
    <w:rsid w:val="00C81C10"/>
    <w:rsid w:val="00CA2FD7"/>
    <w:rsid w:val="00CA5B00"/>
    <w:rsid w:val="00CB2B53"/>
    <w:rsid w:val="00CC24F6"/>
    <w:rsid w:val="00CC2A6A"/>
    <w:rsid w:val="00CD2216"/>
    <w:rsid w:val="00CD2B2C"/>
    <w:rsid w:val="00CD7DFE"/>
    <w:rsid w:val="00CE0BC9"/>
    <w:rsid w:val="00CE3E8E"/>
    <w:rsid w:val="00CE46B6"/>
    <w:rsid w:val="00CF1B6E"/>
    <w:rsid w:val="00CF22BC"/>
    <w:rsid w:val="00CF6F19"/>
    <w:rsid w:val="00CF6F33"/>
    <w:rsid w:val="00D03327"/>
    <w:rsid w:val="00D045EA"/>
    <w:rsid w:val="00D0492D"/>
    <w:rsid w:val="00D052E7"/>
    <w:rsid w:val="00D0642B"/>
    <w:rsid w:val="00D07A50"/>
    <w:rsid w:val="00D109D1"/>
    <w:rsid w:val="00D1286B"/>
    <w:rsid w:val="00D15158"/>
    <w:rsid w:val="00D20715"/>
    <w:rsid w:val="00D30E3F"/>
    <w:rsid w:val="00D34CB9"/>
    <w:rsid w:val="00D51E06"/>
    <w:rsid w:val="00D66DC1"/>
    <w:rsid w:val="00D72016"/>
    <w:rsid w:val="00D722A4"/>
    <w:rsid w:val="00D730F7"/>
    <w:rsid w:val="00D735A9"/>
    <w:rsid w:val="00D834B9"/>
    <w:rsid w:val="00D858D3"/>
    <w:rsid w:val="00D92328"/>
    <w:rsid w:val="00DA38B4"/>
    <w:rsid w:val="00DA48C3"/>
    <w:rsid w:val="00DA4DAC"/>
    <w:rsid w:val="00DB16F4"/>
    <w:rsid w:val="00DB50FE"/>
    <w:rsid w:val="00DB524E"/>
    <w:rsid w:val="00DB5E3E"/>
    <w:rsid w:val="00DB7F66"/>
    <w:rsid w:val="00DC3A49"/>
    <w:rsid w:val="00DC3EBA"/>
    <w:rsid w:val="00DD09AD"/>
    <w:rsid w:val="00DD70D2"/>
    <w:rsid w:val="00DE3E77"/>
    <w:rsid w:val="00DF7CCC"/>
    <w:rsid w:val="00E00121"/>
    <w:rsid w:val="00E067A6"/>
    <w:rsid w:val="00E07139"/>
    <w:rsid w:val="00E13B30"/>
    <w:rsid w:val="00E23830"/>
    <w:rsid w:val="00E24AB5"/>
    <w:rsid w:val="00E31135"/>
    <w:rsid w:val="00E35482"/>
    <w:rsid w:val="00E45CEE"/>
    <w:rsid w:val="00E53480"/>
    <w:rsid w:val="00E54174"/>
    <w:rsid w:val="00E55FD7"/>
    <w:rsid w:val="00E646D6"/>
    <w:rsid w:val="00E65380"/>
    <w:rsid w:val="00E6655D"/>
    <w:rsid w:val="00E67D2B"/>
    <w:rsid w:val="00E734E0"/>
    <w:rsid w:val="00E77404"/>
    <w:rsid w:val="00E811A3"/>
    <w:rsid w:val="00E915E5"/>
    <w:rsid w:val="00EB3FB3"/>
    <w:rsid w:val="00EB5F03"/>
    <w:rsid w:val="00EC0552"/>
    <w:rsid w:val="00EC17E2"/>
    <w:rsid w:val="00EC7DEF"/>
    <w:rsid w:val="00EE4A79"/>
    <w:rsid w:val="00EE6FE4"/>
    <w:rsid w:val="00EF5394"/>
    <w:rsid w:val="00F01F07"/>
    <w:rsid w:val="00F072BB"/>
    <w:rsid w:val="00F11954"/>
    <w:rsid w:val="00F13EB4"/>
    <w:rsid w:val="00F152FD"/>
    <w:rsid w:val="00F3086E"/>
    <w:rsid w:val="00F40A6C"/>
    <w:rsid w:val="00F42A51"/>
    <w:rsid w:val="00F45303"/>
    <w:rsid w:val="00F6011D"/>
    <w:rsid w:val="00F60C5F"/>
    <w:rsid w:val="00F61896"/>
    <w:rsid w:val="00F62B28"/>
    <w:rsid w:val="00F6360D"/>
    <w:rsid w:val="00F63939"/>
    <w:rsid w:val="00F65282"/>
    <w:rsid w:val="00F67178"/>
    <w:rsid w:val="00F8643E"/>
    <w:rsid w:val="00F91BA1"/>
    <w:rsid w:val="00F92D35"/>
    <w:rsid w:val="00F9408C"/>
    <w:rsid w:val="00FA1399"/>
    <w:rsid w:val="00FA247B"/>
    <w:rsid w:val="00FA4B8D"/>
    <w:rsid w:val="00FA6BF4"/>
    <w:rsid w:val="00FA74E3"/>
    <w:rsid w:val="00FB20A4"/>
    <w:rsid w:val="00FB2964"/>
    <w:rsid w:val="00FB43C1"/>
    <w:rsid w:val="00FC0B69"/>
    <w:rsid w:val="00FC3FA6"/>
    <w:rsid w:val="00FC64A2"/>
    <w:rsid w:val="00FE7B82"/>
    <w:rsid w:val="00FF42C5"/>
    <w:rsid w:val="00FF6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B52AEBF"/>
  <w15:docId w15:val="{A7E64B24-943F-40BD-8593-0AC16301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EA1"/>
    <w:pPr>
      <w:tabs>
        <w:tab w:val="left" w:pos="850"/>
        <w:tab w:val="left" w:pos="1191"/>
        <w:tab w:val="left" w:pos="1531"/>
      </w:tabs>
      <w:spacing w:after="0" w:line="240" w:lineRule="auto"/>
      <w:jc w:val="both"/>
    </w:pPr>
    <w:rPr>
      <w:rFonts w:ascii="Times New Roman" w:eastAsia="Times New Roman" w:hAnsi="Times New Roman" w:cs="Times New Roman"/>
      <w:szCs w:val="20"/>
    </w:rPr>
  </w:style>
  <w:style w:type="paragraph" w:styleId="Heading2">
    <w:name w:val="heading 2"/>
    <w:basedOn w:val="Normal"/>
    <w:next w:val="Num-DocParagraph"/>
    <w:link w:val="Heading2Char"/>
    <w:qFormat/>
    <w:rsid w:val="0082386A"/>
    <w:pPr>
      <w:keepNext/>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82EA1"/>
    <w:pPr>
      <w:spacing w:after="240"/>
    </w:pPr>
  </w:style>
  <w:style w:type="character" w:customStyle="1" w:styleId="BodyTextChar">
    <w:name w:val="Body Text Char"/>
    <w:basedOn w:val="DefaultParagraphFont"/>
    <w:link w:val="BodyText"/>
    <w:rsid w:val="00182EA1"/>
    <w:rPr>
      <w:rFonts w:ascii="Times New Roman" w:eastAsia="Times New Roman" w:hAnsi="Times New Roman" w:cs="Times New Roman"/>
      <w:szCs w:val="20"/>
    </w:rPr>
  </w:style>
  <w:style w:type="table" w:styleId="TableGrid">
    <w:name w:val="Table Grid"/>
    <w:basedOn w:val="TableNormal"/>
    <w:rsid w:val="00182EA1"/>
    <w:pPr>
      <w:tabs>
        <w:tab w:val="left" w:pos="850"/>
        <w:tab w:val="left" w:pos="1191"/>
        <w:tab w:val="left" w:pos="1531"/>
      </w:tabs>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2386A"/>
    <w:rPr>
      <w:rFonts w:ascii="Times New Roman" w:eastAsia="Times New Roman" w:hAnsi="Times New Roman" w:cs="Times New Roman"/>
      <w:b/>
      <w:szCs w:val="20"/>
    </w:rPr>
  </w:style>
  <w:style w:type="paragraph" w:customStyle="1" w:styleId="Num-DocParagraph">
    <w:name w:val="Num-Doc Paragraph"/>
    <w:basedOn w:val="BodyText"/>
    <w:rsid w:val="0082386A"/>
  </w:style>
  <w:style w:type="character" w:styleId="Hyperlink">
    <w:name w:val="Hyperlink"/>
    <w:basedOn w:val="DefaultParagraphFont"/>
    <w:rsid w:val="0082386A"/>
    <w:rPr>
      <w:noProof w:val="0"/>
      <w:color w:val="0000FF"/>
      <w:u w:val="single"/>
      <w:lang w:val="en-GB"/>
    </w:rPr>
  </w:style>
  <w:style w:type="paragraph" w:styleId="ListBullet">
    <w:name w:val="List Bullet"/>
    <w:basedOn w:val="Normal"/>
    <w:rsid w:val="00B341D6"/>
    <w:pPr>
      <w:numPr>
        <w:numId w:val="2"/>
      </w:numPr>
      <w:tabs>
        <w:tab w:val="clear" w:pos="850"/>
        <w:tab w:val="clear" w:pos="1531"/>
      </w:tabs>
      <w:spacing w:after="240"/>
    </w:pPr>
  </w:style>
  <w:style w:type="paragraph" w:styleId="ListParagraph">
    <w:name w:val="List Paragraph"/>
    <w:basedOn w:val="Normal"/>
    <w:uiPriority w:val="34"/>
    <w:qFormat/>
    <w:rsid w:val="004E094D"/>
    <w:pPr>
      <w:ind w:left="720"/>
      <w:contextualSpacing/>
    </w:pPr>
  </w:style>
  <w:style w:type="paragraph" w:styleId="FootnoteText">
    <w:name w:val="footnote text"/>
    <w:basedOn w:val="Normal"/>
    <w:link w:val="FootnoteTextChar"/>
    <w:uiPriority w:val="99"/>
    <w:semiHidden/>
    <w:unhideWhenUsed/>
    <w:rsid w:val="00817E6D"/>
    <w:rPr>
      <w:sz w:val="20"/>
    </w:rPr>
  </w:style>
  <w:style w:type="character" w:customStyle="1" w:styleId="FootnoteTextChar">
    <w:name w:val="Footnote Text Char"/>
    <w:basedOn w:val="DefaultParagraphFont"/>
    <w:link w:val="FootnoteText"/>
    <w:uiPriority w:val="99"/>
    <w:semiHidden/>
    <w:rsid w:val="00817E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17E6D"/>
    <w:rPr>
      <w:vertAlign w:val="superscript"/>
    </w:rPr>
  </w:style>
  <w:style w:type="character" w:styleId="FollowedHyperlink">
    <w:name w:val="FollowedHyperlink"/>
    <w:basedOn w:val="DefaultParagraphFont"/>
    <w:uiPriority w:val="99"/>
    <w:semiHidden/>
    <w:unhideWhenUsed/>
    <w:rsid w:val="00DB50FE"/>
    <w:rPr>
      <w:color w:val="954F72" w:themeColor="followedHyperlink"/>
      <w:u w:val="single"/>
    </w:rPr>
  </w:style>
  <w:style w:type="paragraph" w:styleId="BalloonText">
    <w:name w:val="Balloon Text"/>
    <w:basedOn w:val="Normal"/>
    <w:link w:val="BalloonTextChar"/>
    <w:uiPriority w:val="99"/>
    <w:semiHidden/>
    <w:unhideWhenUsed/>
    <w:rsid w:val="00A94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91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118"/>
    <w:rPr>
      <w:sz w:val="16"/>
      <w:szCs w:val="16"/>
    </w:rPr>
  </w:style>
  <w:style w:type="paragraph" w:styleId="CommentText">
    <w:name w:val="annotation text"/>
    <w:basedOn w:val="Normal"/>
    <w:link w:val="CommentTextChar"/>
    <w:uiPriority w:val="99"/>
    <w:unhideWhenUsed/>
    <w:rsid w:val="00913118"/>
    <w:rPr>
      <w:sz w:val="20"/>
    </w:rPr>
  </w:style>
  <w:style w:type="character" w:customStyle="1" w:styleId="CommentTextChar">
    <w:name w:val="Comment Text Char"/>
    <w:basedOn w:val="DefaultParagraphFont"/>
    <w:link w:val="CommentText"/>
    <w:uiPriority w:val="99"/>
    <w:rsid w:val="009131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118"/>
    <w:rPr>
      <w:b/>
      <w:bCs/>
    </w:rPr>
  </w:style>
  <w:style w:type="character" w:customStyle="1" w:styleId="CommentSubjectChar">
    <w:name w:val="Comment Subject Char"/>
    <w:basedOn w:val="CommentTextChar"/>
    <w:link w:val="CommentSubject"/>
    <w:uiPriority w:val="99"/>
    <w:semiHidden/>
    <w:rsid w:val="00913118"/>
    <w:rPr>
      <w:rFonts w:ascii="Times New Roman" w:eastAsia="Times New Roman" w:hAnsi="Times New Roman" w:cs="Times New Roman"/>
      <w:b/>
      <w:bCs/>
      <w:sz w:val="20"/>
      <w:szCs w:val="20"/>
    </w:rPr>
  </w:style>
  <w:style w:type="paragraph" w:styleId="Revision">
    <w:name w:val="Revision"/>
    <w:hidden/>
    <w:uiPriority w:val="99"/>
    <w:semiHidden/>
    <w:rsid w:val="00F63939"/>
    <w:pPr>
      <w:spacing w:after="0" w:line="240" w:lineRule="auto"/>
    </w:pPr>
    <w:rPr>
      <w:rFonts w:ascii="Times New Roman" w:eastAsia="Times New Roman" w:hAnsi="Times New Roman" w:cs="Times New Roman"/>
      <w:szCs w:val="20"/>
    </w:rPr>
  </w:style>
  <w:style w:type="paragraph" w:styleId="HTMLPreformatted">
    <w:name w:val="HTML Preformatted"/>
    <w:basedOn w:val="Normal"/>
    <w:link w:val="HTMLPreformattedChar"/>
    <w:uiPriority w:val="99"/>
    <w:semiHidden/>
    <w:unhideWhenUsed/>
    <w:rsid w:val="00E00121"/>
    <w:pPr>
      <w:tabs>
        <w:tab w:val="clear" w:pos="850"/>
        <w:tab w:val="clear" w:pos="1191"/>
        <w:tab w:val="clear" w:pos="15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pt-BR" w:eastAsia="pt-BR"/>
    </w:rPr>
  </w:style>
  <w:style w:type="character" w:customStyle="1" w:styleId="HTMLPreformattedChar">
    <w:name w:val="HTML Preformatted Char"/>
    <w:basedOn w:val="DefaultParagraphFont"/>
    <w:link w:val="HTMLPreformatted"/>
    <w:uiPriority w:val="99"/>
    <w:semiHidden/>
    <w:rsid w:val="00E00121"/>
    <w:rPr>
      <w:rFonts w:ascii="Courier New" w:eastAsia="Times New Roman" w:hAnsi="Courier New" w:cs="Courier New"/>
      <w:sz w:val="20"/>
      <w:szCs w:val="20"/>
      <w:lang w:val="pt-BR" w:eastAsia="pt-BR"/>
    </w:rPr>
  </w:style>
  <w:style w:type="character" w:customStyle="1" w:styleId="tlid-translation">
    <w:name w:val="tlid-translation"/>
    <w:basedOn w:val="DefaultParagraphFont"/>
    <w:rsid w:val="001B1A32"/>
  </w:style>
  <w:style w:type="paragraph" w:styleId="Header">
    <w:name w:val="header"/>
    <w:basedOn w:val="Normal"/>
    <w:link w:val="HeaderChar"/>
    <w:uiPriority w:val="99"/>
    <w:unhideWhenUsed/>
    <w:rsid w:val="00A62128"/>
    <w:pPr>
      <w:tabs>
        <w:tab w:val="clear" w:pos="850"/>
        <w:tab w:val="clear" w:pos="1191"/>
        <w:tab w:val="clear" w:pos="1531"/>
        <w:tab w:val="center" w:pos="4513"/>
        <w:tab w:val="right" w:pos="9026"/>
      </w:tabs>
    </w:pPr>
  </w:style>
  <w:style w:type="character" w:customStyle="1" w:styleId="HeaderChar">
    <w:name w:val="Header Char"/>
    <w:basedOn w:val="DefaultParagraphFont"/>
    <w:link w:val="Header"/>
    <w:uiPriority w:val="99"/>
    <w:rsid w:val="00A62128"/>
    <w:rPr>
      <w:rFonts w:ascii="Times New Roman" w:eastAsia="Times New Roman" w:hAnsi="Times New Roman" w:cs="Times New Roman"/>
      <w:szCs w:val="20"/>
    </w:rPr>
  </w:style>
  <w:style w:type="paragraph" w:styleId="Footer">
    <w:name w:val="footer"/>
    <w:basedOn w:val="Normal"/>
    <w:link w:val="FooterChar"/>
    <w:uiPriority w:val="99"/>
    <w:unhideWhenUsed/>
    <w:rsid w:val="00A62128"/>
    <w:pPr>
      <w:tabs>
        <w:tab w:val="clear" w:pos="850"/>
        <w:tab w:val="clear" w:pos="1191"/>
        <w:tab w:val="clear" w:pos="1531"/>
        <w:tab w:val="center" w:pos="4513"/>
        <w:tab w:val="right" w:pos="9026"/>
      </w:tabs>
    </w:pPr>
  </w:style>
  <w:style w:type="character" w:customStyle="1" w:styleId="FooterChar">
    <w:name w:val="Footer Char"/>
    <w:basedOn w:val="DefaultParagraphFont"/>
    <w:link w:val="Footer"/>
    <w:uiPriority w:val="99"/>
    <w:rsid w:val="00A6212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6531">
      <w:bodyDiv w:val="1"/>
      <w:marLeft w:val="0"/>
      <w:marRight w:val="0"/>
      <w:marTop w:val="0"/>
      <w:marBottom w:val="0"/>
      <w:divBdr>
        <w:top w:val="none" w:sz="0" w:space="0" w:color="auto"/>
        <w:left w:val="none" w:sz="0" w:space="0" w:color="auto"/>
        <w:bottom w:val="none" w:sz="0" w:space="0" w:color="auto"/>
        <w:right w:val="none" w:sz="0" w:space="0" w:color="auto"/>
      </w:divBdr>
    </w:div>
    <w:div w:id="407775915">
      <w:bodyDiv w:val="1"/>
      <w:marLeft w:val="0"/>
      <w:marRight w:val="0"/>
      <w:marTop w:val="0"/>
      <w:marBottom w:val="0"/>
      <w:divBdr>
        <w:top w:val="none" w:sz="0" w:space="0" w:color="auto"/>
        <w:left w:val="none" w:sz="0" w:space="0" w:color="auto"/>
        <w:bottom w:val="none" w:sz="0" w:space="0" w:color="auto"/>
        <w:right w:val="none" w:sz="0" w:space="0" w:color="auto"/>
      </w:divBdr>
    </w:div>
    <w:div w:id="920792945">
      <w:bodyDiv w:val="1"/>
      <w:marLeft w:val="0"/>
      <w:marRight w:val="0"/>
      <w:marTop w:val="0"/>
      <w:marBottom w:val="0"/>
      <w:divBdr>
        <w:top w:val="none" w:sz="0" w:space="0" w:color="auto"/>
        <w:left w:val="none" w:sz="0" w:space="0" w:color="auto"/>
        <w:bottom w:val="none" w:sz="0" w:space="0" w:color="auto"/>
        <w:right w:val="none" w:sz="0" w:space="0" w:color="auto"/>
      </w:divBdr>
    </w:div>
    <w:div w:id="1480726012">
      <w:bodyDiv w:val="1"/>
      <w:marLeft w:val="0"/>
      <w:marRight w:val="0"/>
      <w:marTop w:val="0"/>
      <w:marBottom w:val="0"/>
      <w:divBdr>
        <w:top w:val="none" w:sz="0" w:space="0" w:color="auto"/>
        <w:left w:val="none" w:sz="0" w:space="0" w:color="auto"/>
        <w:bottom w:val="none" w:sz="0" w:space="0" w:color="auto"/>
        <w:right w:val="none" w:sz="0" w:space="0" w:color="auto"/>
      </w:divBdr>
      <w:divsChild>
        <w:div w:id="886913571">
          <w:marLeft w:val="0"/>
          <w:marRight w:val="0"/>
          <w:marTop w:val="0"/>
          <w:marBottom w:val="0"/>
          <w:divBdr>
            <w:top w:val="none" w:sz="0" w:space="0" w:color="auto"/>
            <w:left w:val="none" w:sz="0" w:space="0" w:color="auto"/>
            <w:bottom w:val="none" w:sz="0" w:space="0" w:color="auto"/>
            <w:right w:val="none" w:sz="0" w:space="0" w:color="auto"/>
          </w:divBdr>
          <w:divsChild>
            <w:div w:id="776216012">
              <w:marLeft w:val="0"/>
              <w:marRight w:val="0"/>
              <w:marTop w:val="0"/>
              <w:marBottom w:val="0"/>
              <w:divBdr>
                <w:top w:val="none" w:sz="0" w:space="0" w:color="auto"/>
                <w:left w:val="none" w:sz="0" w:space="0" w:color="auto"/>
                <w:bottom w:val="none" w:sz="0" w:space="0" w:color="auto"/>
                <w:right w:val="none" w:sz="0" w:space="0" w:color="auto"/>
              </w:divBdr>
              <w:divsChild>
                <w:div w:id="801118014">
                  <w:marLeft w:val="0"/>
                  <w:marRight w:val="0"/>
                  <w:marTop w:val="0"/>
                  <w:marBottom w:val="0"/>
                  <w:divBdr>
                    <w:top w:val="none" w:sz="0" w:space="0" w:color="auto"/>
                    <w:left w:val="none" w:sz="0" w:space="0" w:color="auto"/>
                    <w:bottom w:val="none" w:sz="0" w:space="0" w:color="auto"/>
                    <w:right w:val="none" w:sz="0" w:space="0" w:color="auto"/>
                  </w:divBdr>
                  <w:divsChild>
                    <w:div w:id="1326669875">
                      <w:marLeft w:val="0"/>
                      <w:marRight w:val="0"/>
                      <w:marTop w:val="0"/>
                      <w:marBottom w:val="0"/>
                      <w:divBdr>
                        <w:top w:val="none" w:sz="0" w:space="0" w:color="auto"/>
                        <w:left w:val="none" w:sz="0" w:space="0" w:color="auto"/>
                        <w:bottom w:val="none" w:sz="0" w:space="0" w:color="auto"/>
                        <w:right w:val="none" w:sz="0" w:space="0" w:color="auto"/>
                      </w:divBdr>
                      <w:divsChild>
                        <w:div w:id="2138797833">
                          <w:marLeft w:val="0"/>
                          <w:marRight w:val="0"/>
                          <w:marTop w:val="0"/>
                          <w:marBottom w:val="0"/>
                          <w:divBdr>
                            <w:top w:val="none" w:sz="0" w:space="0" w:color="auto"/>
                            <w:left w:val="none" w:sz="0" w:space="0" w:color="auto"/>
                            <w:bottom w:val="none" w:sz="0" w:space="0" w:color="auto"/>
                            <w:right w:val="none" w:sz="0" w:space="0" w:color="auto"/>
                          </w:divBdr>
                          <w:divsChild>
                            <w:div w:id="501744366">
                              <w:marLeft w:val="0"/>
                              <w:marRight w:val="300"/>
                              <w:marTop w:val="180"/>
                              <w:marBottom w:val="0"/>
                              <w:divBdr>
                                <w:top w:val="none" w:sz="0" w:space="0" w:color="auto"/>
                                <w:left w:val="none" w:sz="0" w:space="0" w:color="auto"/>
                                <w:bottom w:val="none" w:sz="0" w:space="0" w:color="auto"/>
                                <w:right w:val="none" w:sz="0" w:space="0" w:color="auto"/>
                              </w:divBdr>
                              <w:divsChild>
                                <w:div w:id="12767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07643">
          <w:marLeft w:val="0"/>
          <w:marRight w:val="0"/>
          <w:marTop w:val="0"/>
          <w:marBottom w:val="0"/>
          <w:divBdr>
            <w:top w:val="none" w:sz="0" w:space="0" w:color="auto"/>
            <w:left w:val="none" w:sz="0" w:space="0" w:color="auto"/>
            <w:bottom w:val="none" w:sz="0" w:space="0" w:color="auto"/>
            <w:right w:val="none" w:sz="0" w:space="0" w:color="auto"/>
          </w:divBdr>
          <w:divsChild>
            <w:div w:id="1073166528">
              <w:marLeft w:val="0"/>
              <w:marRight w:val="0"/>
              <w:marTop w:val="0"/>
              <w:marBottom w:val="0"/>
              <w:divBdr>
                <w:top w:val="none" w:sz="0" w:space="0" w:color="auto"/>
                <w:left w:val="none" w:sz="0" w:space="0" w:color="auto"/>
                <w:bottom w:val="none" w:sz="0" w:space="0" w:color="auto"/>
                <w:right w:val="none" w:sz="0" w:space="0" w:color="auto"/>
              </w:divBdr>
              <w:divsChild>
                <w:div w:id="1909224004">
                  <w:marLeft w:val="0"/>
                  <w:marRight w:val="0"/>
                  <w:marTop w:val="0"/>
                  <w:marBottom w:val="0"/>
                  <w:divBdr>
                    <w:top w:val="none" w:sz="0" w:space="0" w:color="auto"/>
                    <w:left w:val="none" w:sz="0" w:space="0" w:color="auto"/>
                    <w:bottom w:val="none" w:sz="0" w:space="0" w:color="auto"/>
                    <w:right w:val="none" w:sz="0" w:space="0" w:color="auto"/>
                  </w:divBdr>
                  <w:divsChild>
                    <w:div w:id="1661343271">
                      <w:marLeft w:val="0"/>
                      <w:marRight w:val="0"/>
                      <w:marTop w:val="0"/>
                      <w:marBottom w:val="0"/>
                      <w:divBdr>
                        <w:top w:val="none" w:sz="0" w:space="0" w:color="auto"/>
                        <w:left w:val="none" w:sz="0" w:space="0" w:color="auto"/>
                        <w:bottom w:val="none" w:sz="0" w:space="0" w:color="auto"/>
                        <w:right w:val="none" w:sz="0" w:space="0" w:color="auto"/>
                      </w:divBdr>
                      <w:divsChild>
                        <w:div w:id="17902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466342">
      <w:bodyDiv w:val="1"/>
      <w:marLeft w:val="0"/>
      <w:marRight w:val="0"/>
      <w:marTop w:val="0"/>
      <w:marBottom w:val="0"/>
      <w:divBdr>
        <w:top w:val="none" w:sz="0" w:space="0" w:color="auto"/>
        <w:left w:val="none" w:sz="0" w:space="0" w:color="auto"/>
        <w:bottom w:val="none" w:sz="0" w:space="0" w:color="auto"/>
        <w:right w:val="none" w:sz="0" w:space="0" w:color="auto"/>
      </w:divBdr>
    </w:div>
    <w:div w:id="1868181550">
      <w:bodyDiv w:val="1"/>
      <w:marLeft w:val="0"/>
      <w:marRight w:val="0"/>
      <w:marTop w:val="0"/>
      <w:marBottom w:val="0"/>
      <w:divBdr>
        <w:top w:val="none" w:sz="0" w:space="0" w:color="auto"/>
        <w:left w:val="none" w:sz="0" w:space="0" w:color="auto"/>
        <w:bottom w:val="none" w:sz="0" w:space="0" w:color="auto"/>
        <w:right w:val="none" w:sz="0" w:space="0" w:color="auto"/>
      </w:divBdr>
      <w:divsChild>
        <w:div w:id="1844852105">
          <w:marLeft w:val="0"/>
          <w:marRight w:val="0"/>
          <w:marTop w:val="0"/>
          <w:marBottom w:val="0"/>
          <w:divBdr>
            <w:top w:val="none" w:sz="0" w:space="0" w:color="auto"/>
            <w:left w:val="none" w:sz="0" w:space="0" w:color="auto"/>
            <w:bottom w:val="none" w:sz="0" w:space="0" w:color="auto"/>
            <w:right w:val="none" w:sz="0" w:space="0" w:color="auto"/>
          </w:divBdr>
        </w:div>
        <w:div w:id="1177621131">
          <w:marLeft w:val="-240"/>
          <w:marRight w:val="-240"/>
          <w:marTop w:val="0"/>
          <w:marBottom w:val="0"/>
          <w:divBdr>
            <w:top w:val="none" w:sz="0" w:space="0" w:color="auto"/>
            <w:left w:val="none" w:sz="0" w:space="0" w:color="auto"/>
            <w:bottom w:val="none" w:sz="0" w:space="0" w:color="auto"/>
            <w:right w:val="none" w:sz="0" w:space="0" w:color="auto"/>
          </w:divBdr>
          <w:divsChild>
            <w:div w:id="1611207353">
              <w:marLeft w:val="0"/>
              <w:marRight w:val="0"/>
              <w:marTop w:val="0"/>
              <w:marBottom w:val="0"/>
              <w:divBdr>
                <w:top w:val="none" w:sz="0" w:space="0" w:color="auto"/>
                <w:left w:val="none" w:sz="0" w:space="0" w:color="auto"/>
                <w:bottom w:val="none" w:sz="0" w:space="0" w:color="auto"/>
                <w:right w:val="none" w:sz="0" w:space="0" w:color="auto"/>
              </w:divBdr>
              <w:divsChild>
                <w:div w:id="16710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0378">
      <w:bodyDiv w:val="1"/>
      <w:marLeft w:val="0"/>
      <w:marRight w:val="0"/>
      <w:marTop w:val="0"/>
      <w:marBottom w:val="0"/>
      <w:divBdr>
        <w:top w:val="none" w:sz="0" w:space="0" w:color="auto"/>
        <w:left w:val="none" w:sz="0" w:space="0" w:color="auto"/>
        <w:bottom w:val="none" w:sz="0" w:space="0" w:color="auto"/>
        <w:right w:val="none" w:sz="0" w:space="0" w:color="auto"/>
      </w:divBdr>
      <w:divsChild>
        <w:div w:id="1984039947">
          <w:marLeft w:val="0"/>
          <w:marRight w:val="0"/>
          <w:marTop w:val="0"/>
          <w:marBottom w:val="0"/>
          <w:divBdr>
            <w:top w:val="none" w:sz="0" w:space="0" w:color="auto"/>
            <w:left w:val="none" w:sz="0" w:space="0" w:color="auto"/>
            <w:bottom w:val="none" w:sz="0" w:space="0" w:color="auto"/>
            <w:right w:val="none" w:sz="0" w:space="0" w:color="auto"/>
          </w:divBdr>
        </w:div>
        <w:div w:id="4551361">
          <w:marLeft w:val="-240"/>
          <w:marRight w:val="-240"/>
          <w:marTop w:val="0"/>
          <w:marBottom w:val="0"/>
          <w:divBdr>
            <w:top w:val="none" w:sz="0" w:space="0" w:color="auto"/>
            <w:left w:val="none" w:sz="0" w:space="0" w:color="auto"/>
            <w:bottom w:val="none" w:sz="0" w:space="0" w:color="auto"/>
            <w:right w:val="none" w:sz="0" w:space="0" w:color="auto"/>
          </w:divBdr>
          <w:divsChild>
            <w:div w:id="99688166">
              <w:marLeft w:val="0"/>
              <w:marRight w:val="0"/>
              <w:marTop w:val="0"/>
              <w:marBottom w:val="0"/>
              <w:divBdr>
                <w:top w:val="none" w:sz="0" w:space="0" w:color="auto"/>
                <w:left w:val="none" w:sz="0" w:space="0" w:color="auto"/>
                <w:bottom w:val="none" w:sz="0" w:space="0" w:color="auto"/>
                <w:right w:val="none" w:sz="0" w:space="0" w:color="auto"/>
              </w:divBdr>
              <w:divsChild>
                <w:div w:id="2091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TP.Brazil@oecd.org" TargetMode="External"/><Relationship Id="rId3" Type="http://schemas.openxmlformats.org/officeDocument/2006/relationships/customXml" Target="../customXml/item3.xml"/><Relationship Id="rId21" Type="http://schemas.openxmlformats.org/officeDocument/2006/relationships/hyperlink" Target="mailto:Cotin.df.cosit@rfb.gov.b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oecd.org/tax/transfer-pricing/transfer-pricing-in-brazil-towards-convergence-with-the-oecd-standard.pdf" TargetMode="External"/><Relationship Id="rId2" Type="http://schemas.openxmlformats.org/officeDocument/2006/relationships/customXml" Target="../customXml/item2.xml"/><Relationship Id="rId16" Type="http://schemas.openxmlformats.org/officeDocument/2006/relationships/hyperlink" Target="https://www.oecd.org/tax/transfer-pricing/transfer-pricing-in-brazil-towards-convergence-with-the-oecd-standard.htm" TargetMode="External"/><Relationship Id="rId20" Type="http://schemas.openxmlformats.org/officeDocument/2006/relationships/hyperlink" Target="mailto:TP.Brazil@oecd.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otin.df.cosit@rfb.gov.b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787/tpg-2017-en" TargetMode="External"/><Relationship Id="rId2" Type="http://schemas.openxmlformats.org/officeDocument/2006/relationships/hyperlink" Target="https://www.oecd.org/tax/transfer-pricing/precos-de-transferencia-no-brasil-convergencia-para-o-padrao-ocde-folheto.pdf" TargetMode="External"/><Relationship Id="rId1" Type="http://schemas.openxmlformats.org/officeDocument/2006/relationships/hyperlink" Target="https://www.oecd.org/tax/transfer-pricing/transfer-pricing-in-brazil-towards-convergence-with-oecd-standard-brochure.pdf" TargetMode="External"/><Relationship Id="rId5" Type="http://schemas.openxmlformats.org/officeDocument/2006/relationships/hyperlink" Target="https://www.oecd.org/tax/transfer-pricing/Revised-Section-E-Safe-Harbours-TP-Guidelines.pdf" TargetMode="External"/><Relationship Id="rId4" Type="http://schemas.openxmlformats.org/officeDocument/2006/relationships/hyperlink" Target="https://www.oecd-ilibrary.org/taxation/oecd-transfer-pricing-guidelines-for-multinational-enterprises-and-tax-administrations-2017/appendix-recommendation-of-the-council-on-the-determination-of-transfer-pricing-between-associated-enterprises-c-95-126-final-as-amended_tpg-2017-2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2.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3.xml><?xml version="1.0" encoding="utf-8"?>
<?mso-contentType ?>
<FormTemplates xmlns="http://schemas.microsoft.com/sharepoint/v3/contenttype/forms">
  <Display>OECDListFormCollapsible</Display>
  <Edit>OECDListFormCollapsible</Edit>
  <New>OECDListFormCollapsible</New>
</FormTemplates>
</file>

<file path=customXml/item4.xml><?xml version="1.0" encoding="utf-8"?>
<p:properties xmlns:p="http://schemas.microsoft.com/office/2006/metadata/properties" xmlns:xsi="http://www.w3.org/2001/XMLSchema-instance" xmlns:pc="http://schemas.microsoft.com/office/infopath/2007/PartnerControls">
  <documentManagement>
    <OECDPinnedBy xmlns="cf16f947-c9fc-4be9-80b4-2a32b4ac226e">
      <UserInfo>
        <DisplayName/>
        <AccountId xsi:nil="true"/>
        <AccountType/>
      </UserInfo>
    </OECDPinnedBy>
    <hfa66f2e5af148f08064c2e62791b306 xmlns="9e406c50-2549-4f1e-a767-e9b68096b47b">
      <Terms xmlns="http://schemas.microsoft.com/office/infopath/2007/PartnerControls"/>
    </hfa66f2e5af148f08064c2e62791b306>
    <OECDYear xmlns="54c4cd27-f286-408f-9ce0-33c1e0f3ab39" xsi:nil="true"/>
    <OECDProjectLookup xmlns="cf16f947-c9fc-4be9-80b4-2a32b4ac226e">20</OECDProjectLookup>
    <OECDKimProvenance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MeetingDate xmlns="54c4cd27-f286-408f-9ce0-33c1e0f3ab39" xsi:nil="true"/>
    <OECDSharingStatus xmlns="cf16f947-c9fc-4be9-80b4-2a32b4ac226e" xsi:nil="true"/>
    <g48437ce2c3c4c508e6dbb232c223ecb xmlns="cf16f947-c9fc-4be9-80b4-2a32b4ac226e">
      <Terms xmlns="http://schemas.microsoft.com/office/infopath/2007/PartnerControls">
        <TermInfo xmlns="http://schemas.microsoft.com/office/infopath/2007/PartnerControls">
          <TermName xmlns="http://schemas.microsoft.com/office/infopath/2007/PartnerControls">CTP</TermName>
          <TermId xmlns="http://schemas.microsoft.com/office/infopath/2007/PartnerControls">2aa3ac12-48c1-4343-85c1-6fcb55fd7c32</TermId>
        </TermInfo>
      </Terms>
    </g48437ce2c3c4c508e6dbb232c223ecb>
    <eShareHorizProjTaxHTField0 xmlns="9e406c50-2549-4f1e-a767-e9b68096b47b" xsi:nil="true"/>
    <TaxCatchAll xmlns="ca82dde9-3436-4d3d-bddd-d31447390034">
      <Value>244</Value>
      <Value>159</Value>
      <Value>3</Value>
      <Value>266</Value>
      <Value>329</Value>
    </TaxCatchAll>
    <OECDCommunityDocumentURL xmlns="cf16f947-c9fc-4be9-80b4-2a32b4ac226e" xsi:nil="true"/>
    <eShareKeywordsTaxHTField0 xmlns="c9f238dd-bb73-4aef-a7a5-d644ad823e52">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3982b901-93f7-4b41-ab4f-315e9afca617</TermId>
        </TermInfo>
      </Terms>
    </eShareKeywordsTaxHTField0>
    <OECDKimBussinessContext xmlns="54c4cd27-f286-408f-9ce0-33c1e0f3ab39" xsi:nil="true"/>
    <OECDMainProject xmlns="cf16f947-c9fc-4be9-80b4-2a32b4ac226e" xsi:nil="true"/>
    <OECDKimStatus xmlns="54c4cd27-f286-408f-9ce0-33c1e0f3ab39">Draft</OECDKimStatus>
    <OECDCommunityDocumentID xmlns="cf16f947-c9fc-4be9-80b4-2a32b4ac226e" xsi:nil="true"/>
    <eShareCommitteeTaxHTField0 xmlns="c9f238dd-bb73-4aef-a7a5-d644ad823e52">
      <Terms xmlns="http://schemas.microsoft.com/office/infopath/2007/PartnerControls">
        <TermInfo xmlns="http://schemas.microsoft.com/office/infopath/2007/PartnerControls">
          <TermName xmlns="http://schemas.microsoft.com/office/infopath/2007/PartnerControls">Committee on Fiscal Affairs</TermName>
          <TermId xmlns="http://schemas.microsoft.com/office/infopath/2007/PartnerControls">d88853ef-2075-4c47-b149-efe9b961c610</TermId>
        </TermInfo>
      </Terms>
    </eShareCommitteeTaxHTField0>
    <l9a152565aff414c8d842958d210d414 xmlns="cf16f947-c9fc-4be9-80b4-2a32b4ac226e" xsi:nil="true"/>
    <OECDTagsCache xmlns="cf16f947-c9fc-4be9-80b4-2a32b4ac226e" xsi:nil="true"/>
    <IconOverlay xmlns="http://schemas.microsoft.com/sharepoint/v4" xsi:nil="true"/>
    <OECDExpirationDate xmlns="9e406c50-2549-4f1e-a767-e9b68096b47b" xsi:nil="true"/>
    <OECDDeliverableManager xmlns="cf16f947-c9fc-4be9-80b4-2a32b4ac226e">
      <UserInfo>
        <DisplayName/>
        <AccountId xsi:nil="true"/>
        <AccountType/>
      </UserInfo>
    </OECDDeliverableManager>
    <OECDlanguage xmlns="ca82dde9-3436-4d3d-bddd-d31447390034">English</OECDlanguage>
    <OECDAllRelatedUsers xmlns="9e406c50-2549-4f1e-a767-e9b68096b47b">
      <UserInfo>
        <DisplayName/>
        <AccountId xsi:nil="true"/>
        <AccountType/>
      </UserInfo>
    </OECDAllRelatedUsers>
    <OECDProjectMembers xmlns="cf16f947-c9fc-4be9-80b4-2a32b4ac226e">
      <UserInfo>
        <DisplayName>HEALY Hazel, CTP</DisplayName>
        <AccountId>79</AccountId>
        <AccountType/>
      </UserInfo>
      <UserInfo>
        <DisplayName>GARNIER Karena, CTP</DisplayName>
        <AccountId>1001</AccountId>
        <AccountType/>
      </UserInfo>
      <UserInfo>
        <DisplayName>LAGORCE Natalie, CTP</DisplayName>
        <AccountId>2012</AccountId>
        <AccountType/>
      </UserInfo>
      <UserInfo>
        <DisplayName>DUBUC Julien, CTP/GF</DisplayName>
        <AccountId>879</AccountId>
        <AccountType/>
      </UserInfo>
      <UserInfo>
        <DisplayName>HAMADI Hakim, CTP/GF</DisplayName>
        <AccountId>377</AccountId>
        <AccountType/>
      </UserInfo>
    </OECDProjectMembers>
    <OECDProjectManager xmlns="cf16f947-c9fc-4be9-80b4-2a32b4ac226e">
      <UserInfo>
        <DisplayName/>
        <AccountId>105</AccountId>
        <AccountType/>
      </UserInfo>
    </OECDProjectManager>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Taxation</TermName>
          <TermId xmlns="http://schemas.microsoft.com/office/infopath/2007/PartnerControls">36bf87bc-0397-4760-9bd4-7e30e3d166eb</TermId>
        </TermInfo>
      </Terms>
    </eShareTopicTaxHTField0>
  </documentManagement>
</p:properties>
</file>

<file path=customXml/item5.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2507BED6B5908645AAA96978AD5D1987" ma:contentTypeVersion="83" ma:contentTypeDescription="" ma:contentTypeScope="" ma:versionID="76684b60fbf8aecf524c6ace9ef870bb">
  <xsd:schema xmlns:xsd="http://www.w3.org/2001/XMLSchema" xmlns:xs="http://www.w3.org/2001/XMLSchema" xmlns:p="http://schemas.microsoft.com/office/2006/metadata/properties" xmlns:ns1="54c4cd27-f286-408f-9ce0-33c1e0f3ab39" xmlns:ns2="9e406c50-2549-4f1e-a767-e9b68096b47b" xmlns:ns3="cf16f947-c9fc-4be9-80b4-2a32b4ac226e" xmlns:ns5="c9f238dd-bb73-4aef-a7a5-d644ad823e52" xmlns:ns6="ca82dde9-3436-4d3d-bddd-d31447390034" xmlns:ns7="http://schemas.microsoft.com/sharepoint/v4" targetNamespace="http://schemas.microsoft.com/office/2006/metadata/properties" ma:root="true" ma:fieldsID="384d9db0cb63c9de09083c9fbb3dc883" ns1:_="" ns2:_="" ns3:_="" ns5:_="" ns6:_="" ns7:_="">
    <xsd:import namespace="54c4cd27-f286-408f-9ce0-33c1e0f3ab39"/>
    <xsd:import namespace="9e406c50-2549-4f1e-a767-e9b68096b47b"/>
    <xsd:import namespace="cf16f947-c9fc-4be9-80b4-2a32b4ac226e"/>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6:TaxCatchAll" minOccurs="0"/>
                <xsd:element ref="ns3:l9a152565aff414c8d842958d210d414" minOccurs="0"/>
                <xsd:element ref="ns6:TaxCatchAllLabel" minOccurs="0"/>
                <xsd:element ref="ns1:OECDMeetingDate" minOccurs="0"/>
                <xsd:element ref="ns6:OECDlanguage" minOccurs="0"/>
                <xsd:element ref="ns2:hfa66f2e5af148f08064c2e62791b306" minOccurs="0"/>
                <xsd:element ref="ns3:g48437ce2c3c4c508e6dbb232c223ecb" minOccurs="0"/>
                <xsd:element ref="ns3:OECDSharingStatus" minOccurs="0"/>
                <xsd:element ref="ns3:OECDCommunityDocumentURL" minOccurs="0"/>
                <xsd:element ref="ns3:OECDCommunityDocumentID" minOccurs="0"/>
                <xsd:element ref="ns2:eShareHorizProjTaxHTField0" minOccurs="0"/>
                <xsd:element ref="ns3:OECDTagsCache" minOccurs="0"/>
                <xsd:element ref="ns3:OECDDeliverableManager" minOccurs="0"/>
                <xsd:element ref="ns7:IconOverlay"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8" nillable="true" ma:displayName="Meeting Date" ma:default="" ma:format="DateOnly" ma:hidden="true" ma:internalName="OECDMeetingDate">
      <xsd:simpleType>
        <xsd:restriction base="dms:DateTime"/>
      </xsd:simpleType>
    </xsd:element>
    <xsd:element name="OECDYear" ma:index="45"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6c50-2549-4f1e-a767-e9b68096b47b"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hfa66f2e5af148f08064c2e62791b306" ma:index="33" nillable="true" ma:taxonomy="true" ma:internalName="hfa66f2e5af148f08064c2e62791b306" ma:taxonomyFieldName="OECDHorizontalProjects" ma:displayName="Horizontal project" ma:default="" ma:fieldId="{1fa66f2e-5af1-48f0-8064-c2e62791b30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38" nillable="true" ma:displayName="OECDHorizontalProjects_0" ma:description="" ma:hidden="true" ma:internalName="eShareHorizProjTaxHTField0">
      <xsd:simpleType>
        <xsd:restriction base="dms:Note"/>
      </xsd:simpleType>
    </xsd:element>
    <xsd:element name="OECDAllRelatedUsers" ma:index="43"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6f947-c9fc-4be9-80b4-2a32b4ac226e"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639da05e-b3c6-46a1-b83b-8ce0cfde2092" ma:internalName="OECDProjectLookup" ma:readOnly="false" ma:showField="OECDShortProjectName" ma:web="cf16f947-c9fc-4be9-80b4-2a32b4ac226e">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639da05e-b3c6-46a1-b83b-8ce0cfde209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9a152565aff414c8d842958d210d414" ma:index="25" nillable="true" ma:displayName="Deliverable owner_0" ma:hidden="true" ma:internalName="l9a152565aff414c8d842958d210d414">
      <xsd:simpleType>
        <xsd:restriction base="dms:Note"/>
      </xsd:simpleType>
    </xsd:element>
    <xsd:element name="g48437ce2c3c4c508e6dbb232c223ecb" ma:index="34" nillable="true" ma:taxonomy="true" ma:internalName="g48437ce2c3c4c508e6dbb232c223ecb" ma:taxonomyFieldName="OECDProjectOwnerStructure" ma:displayName="Project owner" ma:readOnly="false" ma:default="" ma:fieldId="048437ce-2c3c-4c50-8e6d-bb232c223ec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5" nillable="true" ma:displayName="O.N.E Document Sharing Status" ma:description="" ma:hidden="true" ma:internalName="OECDSharingStatus">
      <xsd:simpleType>
        <xsd:restriction base="dms:Text"/>
      </xsd:simpleType>
    </xsd:element>
    <xsd:element name="OECDCommunityDocumentURL" ma:index="36" nillable="true" ma:displayName="O.N.E Community Document URL" ma:description="" ma:hidden="true" ma:internalName="OECDCommunityDocumentURL">
      <xsd:simpleType>
        <xsd:restriction base="dms:Text"/>
      </xsd:simpleType>
    </xsd:element>
    <xsd:element name="OECDCommunityDocumentID" ma:index="37" nillable="true" ma:displayName="O.N.E Community Document ID" ma:decimals="0" ma:description="" ma:hidden="true" ma:internalName="OECDCommunityDocumentID">
      <xsd:simpleType>
        <xsd:restriction base="dms:Number"/>
      </xsd:simpleType>
    </xsd:element>
    <xsd:element name="OECDTagsCache" ma:index="40" nillable="true" ma:displayName="Tags cache" ma:description="" ma:hidden="true" ma:internalName="OECDTagsCache">
      <xsd:simpleType>
        <xsd:restriction base="dms:Note"/>
      </xsd:simpleType>
    </xsd:element>
    <xsd:element name="OECDDeliverableManager" ma:index="41" nillable="true" ma:displayName="In charge" ma:description="" ma:hidden="true" ma:internalName="OECDDeliverable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4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313c73-16b7-424d-af27-bacb5b0305bc}" ma:internalName="TaxCatchAll" ma:showField="CatchAllData"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bb313c73-16b7-424d-af27-bacb5b0305bc}" ma:internalName="TaxCatchAllLabel" ma:readOnly="true" ma:showField="CatchAllDataLabel"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5797-E70E-42F4-82D8-F5593BE75286}">
  <ds:schemaRefs>
    <ds:schemaRef ds:uri="Microsoft.SharePoint.Taxonomy.ContentTypeSync"/>
  </ds:schemaRefs>
</ds:datastoreItem>
</file>

<file path=customXml/itemProps2.xml><?xml version="1.0" encoding="utf-8"?>
<ds:datastoreItem xmlns:ds="http://schemas.openxmlformats.org/officeDocument/2006/customXml" ds:itemID="{06A6CF3D-8443-4982-BF93-C2356962E85C}">
  <ds:schemaRefs>
    <ds:schemaRef ds:uri="http://www.oecd.org/eshare/projectsentre/CtFieldPriority/"/>
    <ds:schemaRef ds:uri="http://schemas.microsoft.com/2003/10/Serialization/Arrays"/>
  </ds:schemaRefs>
</ds:datastoreItem>
</file>

<file path=customXml/itemProps3.xml><?xml version="1.0" encoding="utf-8"?>
<ds:datastoreItem xmlns:ds="http://schemas.openxmlformats.org/officeDocument/2006/customXml" ds:itemID="{63A4AADB-4C77-4C62-BD50-46ECA4ED59A0}">
  <ds:schemaRefs>
    <ds:schemaRef ds:uri="http://schemas.microsoft.com/sharepoint/v3/contenttype/forms"/>
  </ds:schemaRefs>
</ds:datastoreItem>
</file>

<file path=customXml/itemProps4.xml><?xml version="1.0" encoding="utf-8"?>
<ds:datastoreItem xmlns:ds="http://schemas.openxmlformats.org/officeDocument/2006/customXml" ds:itemID="{7E24C0DB-F4A7-4919-9093-9D48DA392C21}">
  <ds:schemaRefs>
    <ds:schemaRef ds:uri="http://schemas.openxmlformats.org/package/2006/metadata/core-properties"/>
    <ds:schemaRef ds:uri="c9f238dd-bb73-4aef-a7a5-d644ad823e52"/>
    <ds:schemaRef ds:uri="http://schemas.microsoft.com/office/2006/documentManagement/types"/>
    <ds:schemaRef ds:uri="http://schemas.microsoft.com/office/infopath/2007/PartnerControls"/>
    <ds:schemaRef ds:uri="ca82dde9-3436-4d3d-bddd-d31447390034"/>
    <ds:schemaRef ds:uri="http://purl.org/dc/elements/1.1/"/>
    <ds:schemaRef ds:uri="http://schemas.microsoft.com/office/2006/metadata/properties"/>
    <ds:schemaRef ds:uri="54c4cd27-f286-408f-9ce0-33c1e0f3ab39"/>
    <ds:schemaRef ds:uri="cf16f947-c9fc-4be9-80b4-2a32b4ac226e"/>
    <ds:schemaRef ds:uri="http://schemas.microsoft.com/sharepoint/v4"/>
    <ds:schemaRef ds:uri="http://purl.org/dc/terms/"/>
    <ds:schemaRef ds:uri="9e406c50-2549-4f1e-a767-e9b68096b47b"/>
    <ds:schemaRef ds:uri="http://www.w3.org/XML/1998/namespace"/>
    <ds:schemaRef ds:uri="http://purl.org/dc/dcmitype/"/>
  </ds:schemaRefs>
</ds:datastoreItem>
</file>

<file path=customXml/itemProps5.xml><?xml version="1.0" encoding="utf-8"?>
<ds:datastoreItem xmlns:ds="http://schemas.openxmlformats.org/officeDocument/2006/customXml" ds:itemID="{D87294C7-74B5-443D-9402-8BEC1629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9e406c50-2549-4f1e-a767-e9b68096b47b"/>
    <ds:schemaRef ds:uri="cf16f947-c9fc-4be9-80b4-2a32b4ac226e"/>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0695F7-AF27-4294-9F1E-D4075794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8102</Words>
  <Characters>47160</Characters>
  <Application>Microsoft Office Word</Application>
  <DocSecurity>0</DocSecurity>
  <Lines>725</Lines>
  <Paragraphs>157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OECD</Company>
  <LinksUpToDate>false</LinksUpToDate>
  <CharactersWithSpaces>55105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OECD/RFB</dc:creator>
  <cp:keywords/>
  <dc:description/>
  <cp:lastModifiedBy>TYLER Carrie, CTP</cp:lastModifiedBy>
  <cp:revision>5</cp:revision>
  <dcterms:created xsi:type="dcterms:W3CDTF">2020-07-30T11:46:00Z</dcterms:created>
  <dcterms:modified xsi:type="dcterms:W3CDTF">2020-07-30T12:09:00Z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Country">
    <vt:lpwstr/>
  </property>
  <property fmtid="{D5CDD505-2E9C-101B-9397-08002B2CF9AE}" pid="3" name="OECDTopic">
    <vt:lpwstr>329;#Taxation|36bf87bc-0397-4760-9bd4-7e30e3d166eb</vt:lpwstr>
  </property>
  <property fmtid="{D5CDD505-2E9C-101B-9397-08002B2CF9AE}" pid="4" name="OECDCommittee">
    <vt:lpwstr>244;#Committee on Fiscal Affairs|d88853ef-2075-4c47-b149-efe9b961c610</vt:lpwstr>
  </property>
  <property fmtid="{D5CDD505-2E9C-101B-9397-08002B2CF9AE}" pid="5" name="ContentTypeId">
    <vt:lpwstr>0x0101008B4DD370EC31429186F3AD49F0D3098F00D44DBCB9EB4F45278CB5C9765BE5299500A4858B360C6A491AA753F8BCA47AA910002507BED6B5908645AAA96978AD5D1987</vt:lpwstr>
  </property>
  <property fmtid="{D5CDD505-2E9C-101B-9397-08002B2CF9AE}" pid="6" name="OECDPWB">
    <vt:lpwstr>3;#(n/a)|3adabb5f-45b7-4a20-bdde-219e8d9477af</vt:lpwstr>
  </property>
  <property fmtid="{D5CDD505-2E9C-101B-9397-08002B2CF9AE}" pid="7" name="eShareOrganisationTaxHTField0">
    <vt:lpwstr/>
  </property>
  <property fmtid="{D5CDD505-2E9C-101B-9397-08002B2CF9AE}" pid="8" name="OECDKeywords">
    <vt:lpwstr>266;#Communications|3982b901-93f7-4b41-ab4f-315e9afca617</vt:lpwstr>
  </property>
  <property fmtid="{D5CDD505-2E9C-101B-9397-08002B2CF9AE}" pid="9" name="OECDHorizontalProjects">
    <vt:lpwstr/>
  </property>
  <property fmtid="{D5CDD505-2E9C-101B-9397-08002B2CF9AE}" pid="10" name="OECDProjectOwnerStructure">
    <vt:lpwstr>159;#CTP|2aa3ac12-48c1-4343-85c1-6fcb55fd7c32</vt:lpwstr>
  </property>
  <property fmtid="{D5CDD505-2E9C-101B-9397-08002B2CF9AE}" pid="11" name="OECDOrganisation">
    <vt:lpwstr/>
  </property>
</Properties>
</file>