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C4380" w14:textId="77777777" w:rsidR="00CC13D5" w:rsidRDefault="00CC13D5"/>
    <w:p w14:paraId="0C564EEF" w14:textId="77777777" w:rsidR="004742F7" w:rsidRDefault="00C30EC6">
      <w:r>
        <w:rPr>
          <w:noProof/>
        </w:rPr>
        <mc:AlternateContent>
          <mc:Choice Requires="wps">
            <w:drawing>
              <wp:anchor distT="0" distB="0" distL="114300" distR="114300" simplePos="0" relativeHeight="251659264" behindDoc="0" locked="0" layoutInCell="1" allowOverlap="1" wp14:anchorId="76F34C7C" wp14:editId="6ECA2ED9">
                <wp:simplePos x="0" y="0"/>
                <wp:positionH relativeFrom="column">
                  <wp:align>center</wp:align>
                </wp:positionH>
                <wp:positionV relativeFrom="paragraph">
                  <wp:posOffset>43180</wp:posOffset>
                </wp:positionV>
                <wp:extent cx="6184900" cy="408305"/>
                <wp:effectExtent l="12700" t="11430" r="1270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408305"/>
                        </a:xfrm>
                        <a:prstGeom prst="rect">
                          <a:avLst/>
                        </a:prstGeom>
                        <a:solidFill>
                          <a:srgbClr val="0070C0"/>
                        </a:solidFill>
                        <a:ln w="9525">
                          <a:solidFill>
                            <a:srgbClr val="000000"/>
                          </a:solidFill>
                          <a:miter lim="800000"/>
                          <a:headEnd/>
                          <a:tailEnd/>
                        </a:ln>
                      </wps:spPr>
                      <wps:txbx>
                        <w:txbxContent>
                          <w:p w14:paraId="03D67758" w14:textId="77777777" w:rsidR="004742F7" w:rsidRPr="004742F7" w:rsidRDefault="004742F7" w:rsidP="004742F7">
                            <w:pPr>
                              <w:jc w:val="center"/>
                              <w:rPr>
                                <w:b/>
                                <w:color w:val="FFFFFF" w:themeColor="background1"/>
                                <w:sz w:val="56"/>
                              </w:rPr>
                            </w:pPr>
                            <w:r w:rsidRPr="004742F7">
                              <w:rPr>
                                <w:b/>
                                <w:color w:val="FFFFFF" w:themeColor="background1"/>
                                <w:sz w:val="36"/>
                              </w:rPr>
                              <w:t>REQUEST FOR EXPRESSION OF INTEREST (EOI)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F34C7C" id="_x0000_t202" coordsize="21600,21600" o:spt="202" path="m,l,21600r21600,l21600,xe">
                <v:stroke joinstyle="miter"/>
                <v:path gradientshapeok="t" o:connecttype="rect"/>
              </v:shapetype>
              <v:shape id="Text Box 2" o:spid="_x0000_s1026" type="#_x0000_t202" style="position:absolute;margin-left:0;margin-top:3.4pt;width:487pt;height:32.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" fillcolor="#0070c0">
                <v:textbox>
                  <w:txbxContent>
                    <w:p w14:paraId="03D67758" w14:textId="77777777" w:rsidR="004742F7" w:rsidRPr="004742F7" w:rsidRDefault="004742F7" w:rsidP="004742F7">
                      <w:pPr>
                        <w:jc w:val="center"/>
                        <w:rPr>
                          <w:b/>
                          <w:color w:val="FFFFFF" w:themeColor="background1"/>
                          <w:sz w:val="56"/>
                        </w:rPr>
                      </w:pPr>
                      <w:r w:rsidRPr="004742F7">
                        <w:rPr>
                          <w:b/>
                          <w:color w:val="FFFFFF" w:themeColor="background1"/>
                          <w:sz w:val="36"/>
                        </w:rPr>
                        <w:t>REQUEST FOR EXPRESSION OF INTEREST (EOI)</w:t>
                      </w:r>
                    </w:p>
                  </w:txbxContent>
                </v:textbox>
              </v:shape>
            </w:pict>
          </mc:Fallback>
        </mc:AlternateContent>
      </w:r>
    </w:p>
    <w:p w14:paraId="661EDA99" w14:textId="77777777" w:rsidR="004742F7" w:rsidRPr="004742F7" w:rsidRDefault="004742F7" w:rsidP="004742F7"/>
    <w:p w14:paraId="48B50D21" w14:textId="7D4D6C7D" w:rsidR="00584C5C" w:rsidRDefault="00584C5C" w:rsidP="00A83F04">
      <w:pPr>
        <w:ind w:right="-330"/>
        <w:jc w:val="both"/>
      </w:pPr>
      <w:r w:rsidRPr="007925DA">
        <w:t>Calls for expression of interest (</w:t>
      </w:r>
      <w:r>
        <w:t>EOI</w:t>
      </w:r>
      <w:r w:rsidRPr="007925DA">
        <w:t>) – in French "appels à manifestation d’intérêt" (</w:t>
      </w:r>
      <w:r w:rsidR="003D7019">
        <w:t>A</w:t>
      </w:r>
      <w:r>
        <w:t>MI</w:t>
      </w:r>
      <w:r w:rsidRPr="007925DA">
        <w:t xml:space="preserve">) </w:t>
      </w:r>
      <w:r w:rsidR="00745E36">
        <w:t>–</w:t>
      </w:r>
      <w:r w:rsidRPr="007925DA">
        <w:t xml:space="preserve"> serve to invite economic operators to put themselves forward as candidates in advance of a public procurement operation by a contracting authority. The shortlists generated this way may be used and updated many times for different procurement procedures.</w:t>
      </w:r>
    </w:p>
    <w:p w14:paraId="64C573E4" w14:textId="77777777" w:rsidR="00584C5C" w:rsidRDefault="00584C5C" w:rsidP="00A83F04">
      <w:pPr>
        <w:ind w:right="-330"/>
        <w:jc w:val="both"/>
        <w:rPr>
          <w:rFonts w:ascii="Arial" w:hAnsi="Arial" w:cs="Arial"/>
        </w:rPr>
      </w:pPr>
      <w:r w:rsidRPr="00253ADD">
        <w:t xml:space="preserve">The purpose of this </w:t>
      </w:r>
      <w:r>
        <w:t>EOI</w:t>
      </w:r>
      <w:r w:rsidRPr="00253ADD">
        <w:t xml:space="preserve"> is to provide the Organisation </w:t>
      </w:r>
      <w:r>
        <w:t xml:space="preserve">for Economic Co-operation and Development (OECD or the Organisation) </w:t>
      </w:r>
      <w:r w:rsidRPr="00253ADD">
        <w:t>with a list of candidates who will be invited to participate to the upcoming Call for Tenders</w:t>
      </w:r>
      <w:r>
        <w:t>/Market Consultations.</w:t>
      </w:r>
      <w:r w:rsidRPr="00253ADD">
        <w:t xml:space="preserve"> </w:t>
      </w:r>
      <w:r>
        <w:t xml:space="preserve">Applicants can be individuals, companies, cabinets or </w:t>
      </w:r>
      <w:r w:rsidRPr="00813F9F">
        <w:t>any entity authorised to perform the contract under national law, i.e. by way of inclusion in a trade or professional register or sworn declaration or certificate, membership of a specific organisation, express authorisation or entry in the VAT register.</w:t>
      </w:r>
    </w:p>
    <w:p w14:paraId="05FBE7EB" w14:textId="77777777" w:rsidR="00584C5C" w:rsidRDefault="00584C5C" w:rsidP="00A83F04">
      <w:pPr>
        <w:ind w:right="-330"/>
        <w:jc w:val="both"/>
      </w:pPr>
      <w:r>
        <w:t>The Call for Tenders/Market Consultations will be published on the eSourcing Portal of the OECD (</w:t>
      </w:r>
      <w:hyperlink r:id="rId8" w:history="1">
        <w:r w:rsidRPr="00C579AE">
          <w:rPr>
            <w:rStyle w:val="Hyperlink"/>
          </w:rPr>
          <w:t>https://oecd.bravosolution.com/web/en/login.html</w:t>
        </w:r>
      </w:hyperlink>
      <w:r>
        <w:t xml:space="preserve">). </w:t>
      </w:r>
    </w:p>
    <w:p w14:paraId="2BFCE00A" w14:textId="77777777" w:rsidR="00584C5C" w:rsidRDefault="00584C5C" w:rsidP="00A83F04">
      <w:pPr>
        <w:ind w:right="-330"/>
        <w:jc w:val="both"/>
      </w:pPr>
      <w:r>
        <w:t xml:space="preserve">Calls for Tenders are open for participation to all the interested parties who will register to the Portal.  Market Consultations are accessible only by invitation. </w:t>
      </w:r>
      <w:bookmarkStart w:id="0" w:name="_GoBack"/>
      <w:bookmarkEnd w:id="0"/>
    </w:p>
    <w:p w14:paraId="1F2BA5EB" w14:textId="77777777" w:rsidR="00584C5C" w:rsidRDefault="00584C5C" w:rsidP="00A83F04">
      <w:pPr>
        <w:ind w:right="-330"/>
        <w:jc w:val="both"/>
      </w:pPr>
      <w:r>
        <w:t xml:space="preserve">Once they are registered on the eSourcing Portal, the candidates will be informed of any </w:t>
      </w:r>
      <w:r w:rsidRPr="007925DA">
        <w:t>other</w:t>
      </w:r>
      <w:r>
        <w:t xml:space="preserve"> tender launched on the Portal, and </w:t>
      </w:r>
      <w:r w:rsidRPr="007925DA">
        <w:t xml:space="preserve">in connection with activities related to the </w:t>
      </w:r>
      <w:r>
        <w:t>areas of expertise that they have selected</w:t>
      </w:r>
      <w:r w:rsidRPr="007925DA">
        <w:t>.</w:t>
      </w:r>
    </w:p>
    <w:p w14:paraId="6888EA61" w14:textId="77777777" w:rsidR="00584C5C" w:rsidRDefault="00584C5C" w:rsidP="00A83F04">
      <w:pPr>
        <w:ind w:right="-330"/>
        <w:jc w:val="both"/>
      </w:pPr>
      <w:r w:rsidRPr="000E139F">
        <w:t>Potential applicants are asked to fill in and submit the standard application form. Submissions may start from the date of publication on our web site.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447"/>
        <w:gridCol w:w="1984"/>
        <w:gridCol w:w="1528"/>
        <w:gridCol w:w="2808"/>
      </w:tblGrid>
      <w:tr w:rsidR="00B4652E" w:rsidRPr="00A83F04" w14:paraId="2C4AD62D" w14:textId="77777777" w:rsidTr="00A83F04">
        <w:tc>
          <w:tcPr>
            <w:tcW w:w="3256" w:type="dxa"/>
            <w:gridSpan w:val="2"/>
            <w:shd w:val="clear" w:color="auto" w:fill="F2F2F2"/>
          </w:tcPr>
          <w:p w14:paraId="67948C6A" w14:textId="77777777" w:rsidR="00B4652E" w:rsidRPr="00A83F04" w:rsidRDefault="00B4652E" w:rsidP="00814FF2">
            <w:pPr>
              <w:pStyle w:val="Label"/>
              <w:rPr>
                <w:rFonts w:asciiTheme="minorHAnsi" w:hAnsiTheme="minorHAnsi" w:cstheme="minorHAnsi"/>
                <w:sz w:val="22"/>
              </w:rPr>
            </w:pPr>
            <w:r w:rsidRPr="00A83F04">
              <w:rPr>
                <w:rFonts w:asciiTheme="minorHAnsi" w:hAnsiTheme="minorHAnsi" w:cstheme="minorHAnsi"/>
                <w:sz w:val="22"/>
              </w:rPr>
              <w:t>Title of the EOI</w:t>
            </w:r>
          </w:p>
        </w:tc>
        <w:tc>
          <w:tcPr>
            <w:tcW w:w="6320" w:type="dxa"/>
            <w:gridSpan w:val="3"/>
          </w:tcPr>
          <w:p w14:paraId="48DB9E0B" w14:textId="3CF7280B" w:rsidR="00B4652E" w:rsidRPr="00A83F04" w:rsidRDefault="00B4652E" w:rsidP="0087594F">
            <w:pPr>
              <w:rPr>
                <w:rFonts w:cstheme="minorHAnsi"/>
              </w:rPr>
            </w:pPr>
            <w:r w:rsidRPr="00A83F04">
              <w:rPr>
                <w:rFonts w:cstheme="minorHAnsi"/>
              </w:rPr>
              <w:t xml:space="preserve">PISA </w:t>
            </w:r>
            <w:r w:rsidR="0087594F" w:rsidRPr="00A83F04">
              <w:rPr>
                <w:rFonts w:cstheme="minorHAnsi"/>
              </w:rPr>
              <w:t>2024</w:t>
            </w:r>
          </w:p>
        </w:tc>
      </w:tr>
      <w:tr w:rsidR="00B31C53" w:rsidRPr="00A83F04" w14:paraId="7D476E66" w14:textId="77777777" w:rsidTr="00A83F04">
        <w:tc>
          <w:tcPr>
            <w:tcW w:w="3256" w:type="dxa"/>
            <w:gridSpan w:val="2"/>
            <w:shd w:val="clear" w:color="auto" w:fill="F2F2F2"/>
          </w:tcPr>
          <w:p w14:paraId="4E074F71" w14:textId="77777777" w:rsidR="00B31C53" w:rsidRPr="00A83F04" w:rsidRDefault="00B31C53" w:rsidP="00814FF2">
            <w:pPr>
              <w:pStyle w:val="Label"/>
              <w:rPr>
                <w:rFonts w:asciiTheme="minorHAnsi" w:hAnsiTheme="minorHAnsi" w:cstheme="minorHAnsi"/>
                <w:sz w:val="22"/>
              </w:rPr>
            </w:pPr>
            <w:r w:rsidRPr="00A83F04">
              <w:rPr>
                <w:rFonts w:asciiTheme="minorHAnsi" w:hAnsiTheme="minorHAnsi" w:cstheme="minorHAnsi"/>
                <w:sz w:val="22"/>
              </w:rPr>
              <w:t>Directorate</w:t>
            </w:r>
          </w:p>
        </w:tc>
        <w:tc>
          <w:tcPr>
            <w:tcW w:w="6320" w:type="dxa"/>
            <w:gridSpan w:val="3"/>
          </w:tcPr>
          <w:p w14:paraId="097F8CC1" w14:textId="77777777" w:rsidR="00B31C53" w:rsidRPr="00A83F04" w:rsidRDefault="00B31C53" w:rsidP="00814FF2">
            <w:pPr>
              <w:rPr>
                <w:rFonts w:cstheme="minorHAnsi"/>
              </w:rPr>
            </w:pPr>
            <w:r w:rsidRPr="00A83F04">
              <w:rPr>
                <w:rFonts w:cstheme="minorHAnsi"/>
              </w:rPr>
              <w:t>Directorate for Education and Skills (EDU)</w:t>
            </w:r>
          </w:p>
        </w:tc>
      </w:tr>
      <w:tr w:rsidR="00B31C53" w:rsidRPr="00A83F04" w14:paraId="4E24399A" w14:textId="77777777" w:rsidTr="00A83F04">
        <w:trPr>
          <w:trHeight w:val="654"/>
        </w:trPr>
        <w:tc>
          <w:tcPr>
            <w:tcW w:w="3256" w:type="dxa"/>
            <w:gridSpan w:val="2"/>
            <w:shd w:val="clear" w:color="auto" w:fill="F2F2F2"/>
          </w:tcPr>
          <w:p w14:paraId="3863384A" w14:textId="77777777" w:rsidR="00B31C53" w:rsidRPr="00A83F04" w:rsidRDefault="00B31C53" w:rsidP="00814FF2">
            <w:pPr>
              <w:pStyle w:val="Label"/>
              <w:rPr>
                <w:rFonts w:asciiTheme="minorHAnsi" w:hAnsiTheme="minorHAnsi" w:cstheme="minorHAnsi"/>
                <w:sz w:val="22"/>
              </w:rPr>
            </w:pPr>
            <w:r w:rsidRPr="00A83F04">
              <w:rPr>
                <w:rFonts w:asciiTheme="minorHAnsi" w:hAnsiTheme="minorHAnsi" w:cstheme="minorHAnsi"/>
                <w:sz w:val="22"/>
              </w:rPr>
              <w:t>Field of activity</w:t>
            </w:r>
          </w:p>
        </w:tc>
        <w:tc>
          <w:tcPr>
            <w:tcW w:w="6320" w:type="dxa"/>
            <w:gridSpan w:val="3"/>
          </w:tcPr>
          <w:p w14:paraId="517344D3" w14:textId="77777777" w:rsidR="00B31C53" w:rsidRPr="00A83F04" w:rsidRDefault="00B31C53" w:rsidP="00814FF2">
            <w:pPr>
              <w:rPr>
                <w:rFonts w:cstheme="minorHAnsi"/>
              </w:rPr>
            </w:pPr>
            <w:r w:rsidRPr="00A83F04">
              <w:rPr>
                <w:rFonts w:cstheme="minorHAnsi"/>
              </w:rPr>
              <w:t>Intellectual Services, Education</w:t>
            </w:r>
            <w:r w:rsidR="00584C5C" w:rsidRPr="00A83F04">
              <w:rPr>
                <w:rFonts w:cstheme="minorHAnsi"/>
              </w:rPr>
              <w:t xml:space="preserve"> and skills</w:t>
            </w:r>
            <w:r w:rsidRPr="00A83F04">
              <w:rPr>
                <w:rFonts w:cstheme="minorHAnsi"/>
              </w:rPr>
              <w:t>, Project management and coordination, survey, data management</w:t>
            </w:r>
            <w:r w:rsidR="000847D9" w:rsidRPr="00A83F04">
              <w:rPr>
                <w:rFonts w:cstheme="minorHAnsi"/>
              </w:rPr>
              <w:t>, consultant</w:t>
            </w:r>
          </w:p>
        </w:tc>
      </w:tr>
      <w:tr w:rsidR="004742F7" w:rsidRPr="00A83F04" w14:paraId="7F144A39" w14:textId="77777777" w:rsidTr="000E412E">
        <w:tc>
          <w:tcPr>
            <w:tcW w:w="3256" w:type="dxa"/>
            <w:gridSpan w:val="2"/>
            <w:shd w:val="clear" w:color="auto" w:fill="F2F2F2"/>
          </w:tcPr>
          <w:p w14:paraId="5EC2B8D0" w14:textId="77777777" w:rsidR="004742F7" w:rsidRPr="00A83F04" w:rsidRDefault="00B4652E" w:rsidP="00814FF2">
            <w:pPr>
              <w:pStyle w:val="Label"/>
              <w:rPr>
                <w:rFonts w:asciiTheme="minorHAnsi" w:hAnsiTheme="minorHAnsi" w:cstheme="minorHAnsi"/>
                <w:sz w:val="22"/>
              </w:rPr>
            </w:pPr>
            <w:r w:rsidRPr="00A83F04">
              <w:rPr>
                <w:rFonts w:asciiTheme="minorHAnsi" w:hAnsiTheme="minorHAnsi" w:cstheme="minorHAnsi"/>
                <w:sz w:val="22"/>
              </w:rPr>
              <w:t>Publication date of the EOI</w:t>
            </w:r>
          </w:p>
        </w:tc>
        <w:tc>
          <w:tcPr>
            <w:tcW w:w="1984" w:type="dxa"/>
          </w:tcPr>
          <w:p w14:paraId="6F38E4AB" w14:textId="11F1744E" w:rsidR="004742F7" w:rsidRPr="00A83F04" w:rsidRDefault="004F5906" w:rsidP="004F5906">
            <w:pPr>
              <w:rPr>
                <w:rFonts w:cstheme="minorHAnsi"/>
              </w:rPr>
            </w:pPr>
            <w:r w:rsidRPr="00A83F04">
              <w:rPr>
                <w:rFonts w:cstheme="minorHAnsi"/>
              </w:rPr>
              <w:t>2</w:t>
            </w:r>
            <w:r>
              <w:rPr>
                <w:rFonts w:cstheme="minorHAnsi"/>
              </w:rPr>
              <w:t>6</w:t>
            </w:r>
            <w:r w:rsidRPr="00A83F04">
              <w:rPr>
                <w:rFonts w:cstheme="minorHAnsi"/>
              </w:rPr>
              <w:t xml:space="preserve"> </w:t>
            </w:r>
            <w:r w:rsidR="0087594F" w:rsidRPr="00A83F04">
              <w:rPr>
                <w:rFonts w:cstheme="minorHAnsi"/>
              </w:rPr>
              <w:t>April 2019</w:t>
            </w:r>
          </w:p>
        </w:tc>
        <w:tc>
          <w:tcPr>
            <w:tcW w:w="1528" w:type="dxa"/>
            <w:shd w:val="clear" w:color="auto" w:fill="F2F2F2"/>
          </w:tcPr>
          <w:p w14:paraId="74A95D8B" w14:textId="77777777" w:rsidR="004742F7" w:rsidRPr="00A83F04" w:rsidRDefault="00B4652E" w:rsidP="00814FF2">
            <w:pPr>
              <w:pStyle w:val="Label"/>
              <w:rPr>
                <w:rFonts w:asciiTheme="minorHAnsi" w:hAnsiTheme="minorHAnsi" w:cstheme="minorHAnsi"/>
                <w:sz w:val="22"/>
              </w:rPr>
            </w:pPr>
            <w:r w:rsidRPr="00A83F04">
              <w:rPr>
                <w:rFonts w:asciiTheme="minorHAnsi" w:hAnsiTheme="minorHAnsi" w:cstheme="minorHAnsi"/>
                <w:sz w:val="22"/>
              </w:rPr>
              <w:t>Closing date for reception of EOI</w:t>
            </w:r>
          </w:p>
        </w:tc>
        <w:tc>
          <w:tcPr>
            <w:tcW w:w="2808" w:type="dxa"/>
          </w:tcPr>
          <w:p w14:paraId="20768D37" w14:textId="43E479CB" w:rsidR="004742F7" w:rsidRPr="00A83F04" w:rsidRDefault="0087594F" w:rsidP="0087594F">
            <w:pPr>
              <w:rPr>
                <w:rFonts w:cstheme="minorHAnsi"/>
              </w:rPr>
            </w:pPr>
            <w:r w:rsidRPr="00A83F04">
              <w:rPr>
                <w:rFonts w:cstheme="minorHAnsi"/>
              </w:rPr>
              <w:t>31 May 2019</w:t>
            </w:r>
          </w:p>
        </w:tc>
      </w:tr>
      <w:tr w:rsidR="0027673E" w:rsidRPr="00A83F04" w14:paraId="03970D9B" w14:textId="77777777" w:rsidTr="00A83F04">
        <w:tc>
          <w:tcPr>
            <w:tcW w:w="3256" w:type="dxa"/>
            <w:gridSpan w:val="2"/>
            <w:shd w:val="clear" w:color="auto" w:fill="F2F2F2"/>
          </w:tcPr>
          <w:p w14:paraId="48706557" w14:textId="77777777" w:rsidR="0027673E" w:rsidRPr="00A83F04" w:rsidRDefault="0027673E" w:rsidP="00814FF2">
            <w:pPr>
              <w:pStyle w:val="Label"/>
              <w:rPr>
                <w:rFonts w:asciiTheme="minorHAnsi" w:hAnsiTheme="minorHAnsi" w:cstheme="minorHAnsi"/>
                <w:sz w:val="22"/>
              </w:rPr>
            </w:pPr>
            <w:r w:rsidRPr="00A83F04">
              <w:rPr>
                <w:rFonts w:asciiTheme="minorHAnsi" w:hAnsiTheme="minorHAnsi" w:cstheme="minorHAnsi"/>
                <w:sz w:val="22"/>
              </w:rPr>
              <w:t>Address EOI responses by e-mail to:</w:t>
            </w:r>
          </w:p>
        </w:tc>
        <w:tc>
          <w:tcPr>
            <w:tcW w:w="6320" w:type="dxa"/>
            <w:gridSpan w:val="3"/>
          </w:tcPr>
          <w:p w14:paraId="1AECA588" w14:textId="77777777" w:rsidR="0027673E" w:rsidRPr="00A83F04" w:rsidRDefault="002577A2" w:rsidP="00814FF2">
            <w:pPr>
              <w:rPr>
                <w:rFonts w:cstheme="minorHAnsi"/>
                <w:lang w:val="en-US"/>
              </w:rPr>
            </w:pPr>
            <w:r w:rsidRPr="00A83F04">
              <w:rPr>
                <w:rFonts w:cstheme="minorHAnsi"/>
                <w:lang w:val="en-US"/>
              </w:rPr>
              <w:t>Giorgio Cerniglia</w:t>
            </w:r>
          </w:p>
        </w:tc>
      </w:tr>
      <w:tr w:rsidR="004742F7" w:rsidRPr="00A83F04" w14:paraId="1B3F4A99" w14:textId="77777777" w:rsidTr="000E412E">
        <w:tc>
          <w:tcPr>
            <w:tcW w:w="3256" w:type="dxa"/>
            <w:gridSpan w:val="2"/>
            <w:shd w:val="clear" w:color="auto" w:fill="F2F2F2"/>
          </w:tcPr>
          <w:p w14:paraId="54F19374" w14:textId="77777777" w:rsidR="004742F7" w:rsidRPr="00A83F04" w:rsidRDefault="0027673E" w:rsidP="00814FF2">
            <w:pPr>
              <w:pStyle w:val="Label"/>
              <w:rPr>
                <w:rFonts w:asciiTheme="minorHAnsi" w:hAnsiTheme="minorHAnsi" w:cstheme="minorHAnsi"/>
                <w:sz w:val="22"/>
              </w:rPr>
            </w:pPr>
            <w:r w:rsidRPr="00A83F04">
              <w:rPr>
                <w:rFonts w:asciiTheme="minorHAnsi" w:hAnsiTheme="minorHAnsi" w:cstheme="minorHAnsi"/>
                <w:sz w:val="22"/>
              </w:rPr>
              <w:t>Subject of the e-mail:</w:t>
            </w:r>
          </w:p>
        </w:tc>
        <w:tc>
          <w:tcPr>
            <w:tcW w:w="1984" w:type="dxa"/>
          </w:tcPr>
          <w:p w14:paraId="52B2A00E" w14:textId="6202E38D" w:rsidR="004742F7" w:rsidRPr="00A83F04" w:rsidRDefault="002577A2" w:rsidP="00814FF2">
            <w:pPr>
              <w:rPr>
                <w:rFonts w:cstheme="minorHAnsi"/>
              </w:rPr>
            </w:pPr>
            <w:r w:rsidRPr="00A83F04">
              <w:rPr>
                <w:rFonts w:cstheme="minorHAnsi"/>
              </w:rPr>
              <w:t>EOI_</w:t>
            </w:r>
            <w:r w:rsidR="004F5906">
              <w:rPr>
                <w:rFonts w:cstheme="minorHAnsi"/>
              </w:rPr>
              <w:t>015_</w:t>
            </w:r>
            <w:r w:rsidRPr="00A83F04">
              <w:rPr>
                <w:rFonts w:cstheme="minorHAnsi"/>
              </w:rPr>
              <w:t>PISA202</w:t>
            </w:r>
            <w:r w:rsidR="0087594F" w:rsidRPr="00A83F04">
              <w:rPr>
                <w:rFonts w:cstheme="minorHAnsi"/>
              </w:rPr>
              <w:t>4</w:t>
            </w:r>
          </w:p>
        </w:tc>
        <w:tc>
          <w:tcPr>
            <w:tcW w:w="1528" w:type="dxa"/>
            <w:tcBorders>
              <w:bottom w:val="single" w:sz="4" w:space="0" w:color="000000"/>
            </w:tcBorders>
            <w:shd w:val="clear" w:color="auto" w:fill="F2F2F2"/>
          </w:tcPr>
          <w:p w14:paraId="29B32DE7" w14:textId="77777777" w:rsidR="004742F7" w:rsidRPr="00A83F04" w:rsidRDefault="0027673E" w:rsidP="00814FF2">
            <w:pPr>
              <w:pStyle w:val="Label"/>
              <w:rPr>
                <w:rFonts w:asciiTheme="minorHAnsi" w:hAnsiTheme="minorHAnsi" w:cstheme="minorHAnsi"/>
                <w:sz w:val="22"/>
                <w:highlight w:val="yellow"/>
              </w:rPr>
            </w:pPr>
            <w:r w:rsidRPr="00A83F04">
              <w:rPr>
                <w:rFonts w:asciiTheme="minorHAnsi" w:hAnsiTheme="minorHAnsi" w:cstheme="minorHAnsi"/>
                <w:sz w:val="22"/>
              </w:rPr>
              <w:t>E-mail address:</w:t>
            </w:r>
          </w:p>
        </w:tc>
        <w:tc>
          <w:tcPr>
            <w:tcW w:w="2808" w:type="dxa"/>
            <w:shd w:val="clear" w:color="auto" w:fill="auto"/>
          </w:tcPr>
          <w:p w14:paraId="59F4B136" w14:textId="2C9FBCC0" w:rsidR="000E412E" w:rsidRPr="00A83F04" w:rsidRDefault="006D212E" w:rsidP="000E412E">
            <w:pPr>
              <w:rPr>
                <w:rFonts w:cstheme="minorHAnsi"/>
                <w:b/>
                <w:highlight w:val="yellow"/>
              </w:rPr>
            </w:pPr>
            <w:hyperlink r:id="rId9" w:history="1">
              <w:r w:rsidR="000E412E" w:rsidRPr="00FA3F73">
                <w:rPr>
                  <w:rStyle w:val="Hyperlink"/>
                  <w:rFonts w:cstheme="minorHAnsi"/>
                  <w:b/>
                </w:rPr>
                <w:t>giorgio.cerniglia@oecd.org</w:t>
              </w:r>
            </w:hyperlink>
          </w:p>
        </w:tc>
      </w:tr>
      <w:tr w:rsidR="004742F7" w:rsidRPr="00A83F04" w14:paraId="1672FA07" w14:textId="77777777" w:rsidTr="00B4652E">
        <w:tc>
          <w:tcPr>
            <w:tcW w:w="9576" w:type="dxa"/>
            <w:gridSpan w:val="5"/>
            <w:shd w:val="clear" w:color="auto" w:fill="D9D9D9"/>
          </w:tcPr>
          <w:p w14:paraId="661D8B39" w14:textId="77777777" w:rsidR="004742F7" w:rsidRPr="00A83F04" w:rsidRDefault="0027673E" w:rsidP="00814FF2">
            <w:pPr>
              <w:pStyle w:val="Label"/>
              <w:rPr>
                <w:rFonts w:asciiTheme="minorHAnsi" w:hAnsiTheme="minorHAnsi" w:cstheme="minorHAnsi"/>
                <w:sz w:val="22"/>
              </w:rPr>
            </w:pPr>
            <w:r w:rsidRPr="00A83F04">
              <w:rPr>
                <w:rFonts w:asciiTheme="minorHAnsi" w:hAnsiTheme="minorHAnsi" w:cstheme="minorHAnsi"/>
                <w:sz w:val="22"/>
              </w:rPr>
              <w:t>DESCRIPTION OF REQUIREMENTS</w:t>
            </w:r>
          </w:p>
        </w:tc>
      </w:tr>
      <w:tr w:rsidR="004742F7" w:rsidRPr="00C336A1" w14:paraId="5D476034" w14:textId="77777777" w:rsidTr="00B4652E">
        <w:tc>
          <w:tcPr>
            <w:tcW w:w="9576" w:type="dxa"/>
            <w:gridSpan w:val="5"/>
          </w:tcPr>
          <w:p w14:paraId="53EE9CBC" w14:textId="17ABC51D" w:rsidR="004742F7" w:rsidRPr="00A83F04" w:rsidRDefault="00CC13D5" w:rsidP="00B431BE">
            <w:pPr>
              <w:jc w:val="both"/>
              <w:rPr>
                <w:rFonts w:cstheme="minorHAnsi"/>
              </w:rPr>
            </w:pPr>
            <w:r w:rsidRPr="00A83F04">
              <w:rPr>
                <w:rFonts w:cstheme="minorHAnsi"/>
              </w:rPr>
              <w:t xml:space="preserve">The Directorate for Education and Skills of the OECD is publishing this Call for Expression of Interest in view of sourcing </w:t>
            </w:r>
            <w:r w:rsidR="000847D9" w:rsidRPr="00A83F04">
              <w:rPr>
                <w:rFonts w:cstheme="minorHAnsi"/>
              </w:rPr>
              <w:t xml:space="preserve">contractors </w:t>
            </w:r>
            <w:r w:rsidRPr="00A83F04">
              <w:rPr>
                <w:rFonts w:cstheme="minorHAnsi"/>
              </w:rPr>
              <w:t>for the OECD Programme for International Student Assessment (PISA) 202</w:t>
            </w:r>
            <w:r w:rsidR="0087594F" w:rsidRPr="00A83F04">
              <w:rPr>
                <w:rFonts w:cstheme="minorHAnsi"/>
              </w:rPr>
              <w:t>4</w:t>
            </w:r>
            <w:r w:rsidRPr="00A83F04">
              <w:rPr>
                <w:rFonts w:cstheme="minorHAnsi"/>
              </w:rPr>
              <w:t>.</w:t>
            </w:r>
            <w:r w:rsidR="009C3D0A" w:rsidRPr="00A83F04">
              <w:rPr>
                <w:rFonts w:cstheme="minorHAnsi"/>
              </w:rPr>
              <w:t xml:space="preserve"> </w:t>
            </w:r>
            <w:r w:rsidR="009C3D0A" w:rsidRPr="00A83F04">
              <w:rPr>
                <w:rFonts w:cstheme="minorHAnsi"/>
              </w:rPr>
              <w:lastRenderedPageBreak/>
              <w:t xml:space="preserve">The services </w:t>
            </w:r>
            <w:r w:rsidR="004005C5" w:rsidRPr="00A83F04">
              <w:rPr>
                <w:rFonts w:cstheme="minorHAnsi"/>
              </w:rPr>
              <w:t>covering</w:t>
            </w:r>
            <w:r w:rsidR="009C3D0A" w:rsidRPr="00A83F04">
              <w:rPr>
                <w:rFonts w:cstheme="minorHAnsi"/>
              </w:rPr>
              <w:t xml:space="preserve"> the design, development and implementation of PISA 2024 will be divided in 5 cores</w:t>
            </w:r>
            <w:r w:rsidR="004005C5" w:rsidRPr="00A83F04">
              <w:rPr>
                <w:rFonts w:cstheme="minorHAnsi"/>
              </w:rPr>
              <w:t xml:space="preserve">. The sourcing process </w:t>
            </w:r>
            <w:r w:rsidR="009C3D0A" w:rsidRPr="00A83F04">
              <w:rPr>
                <w:rFonts w:cstheme="minorHAnsi"/>
              </w:rPr>
              <w:t xml:space="preserve">will consists of </w:t>
            </w:r>
            <w:r w:rsidR="004005C5" w:rsidRPr="00A83F04">
              <w:rPr>
                <w:rFonts w:cstheme="minorHAnsi"/>
              </w:rPr>
              <w:t xml:space="preserve">three </w:t>
            </w:r>
            <w:r w:rsidR="0057131F">
              <w:rPr>
                <w:rFonts w:cstheme="minorHAnsi"/>
              </w:rPr>
              <w:t>C</w:t>
            </w:r>
            <w:r w:rsidR="004005C5" w:rsidRPr="00A83F04">
              <w:rPr>
                <w:rFonts w:cstheme="minorHAnsi"/>
              </w:rPr>
              <w:t>all</w:t>
            </w:r>
            <w:r w:rsidR="0057131F">
              <w:rPr>
                <w:rFonts w:cstheme="minorHAnsi"/>
              </w:rPr>
              <w:t>s</w:t>
            </w:r>
            <w:r w:rsidR="004005C5" w:rsidRPr="00A83F04">
              <w:rPr>
                <w:rFonts w:cstheme="minorHAnsi"/>
              </w:rPr>
              <w:t xml:space="preserve"> for </w:t>
            </w:r>
            <w:r w:rsidR="0057131F">
              <w:rPr>
                <w:rFonts w:cstheme="minorHAnsi"/>
              </w:rPr>
              <w:t>T</w:t>
            </w:r>
            <w:r w:rsidR="004005C5" w:rsidRPr="00A83F04">
              <w:rPr>
                <w:rFonts w:cstheme="minorHAnsi"/>
              </w:rPr>
              <w:t>enders that are going to be launched during the second half of 2019</w:t>
            </w:r>
            <w:r w:rsidR="009C3D0A" w:rsidRPr="00A83F04">
              <w:rPr>
                <w:rFonts w:cstheme="minorHAnsi"/>
              </w:rPr>
              <w:t>.</w:t>
            </w:r>
          </w:p>
          <w:p w14:paraId="03FFA900" w14:textId="77777777" w:rsidR="00CC13D5" w:rsidRPr="00A83F04" w:rsidRDefault="00CC13D5" w:rsidP="00CC13D5">
            <w:pPr>
              <w:pStyle w:val="ListParagraph"/>
              <w:numPr>
                <w:ilvl w:val="0"/>
                <w:numId w:val="4"/>
              </w:numPr>
              <w:jc w:val="both"/>
              <w:outlineLvl w:val="0"/>
              <w:rPr>
                <w:rFonts w:cstheme="minorHAnsi"/>
                <w:b/>
                <w:lang w:val="it-IT"/>
              </w:rPr>
            </w:pPr>
            <w:r w:rsidRPr="00A83F04">
              <w:rPr>
                <w:rFonts w:cstheme="minorHAnsi"/>
                <w:b/>
                <w:lang w:val="it-IT"/>
              </w:rPr>
              <w:t xml:space="preserve">BACKGROUND - PISA </w:t>
            </w:r>
          </w:p>
          <w:p w14:paraId="02030A2B" w14:textId="77777777" w:rsidR="00CC13D5" w:rsidRPr="00A83F04" w:rsidRDefault="00CC13D5" w:rsidP="00CC13D5">
            <w:pPr>
              <w:spacing w:before="100" w:beforeAutospacing="1" w:after="100" w:afterAutospacing="1" w:line="240" w:lineRule="auto"/>
              <w:jc w:val="both"/>
              <w:rPr>
                <w:rFonts w:eastAsia="Times New Roman" w:cstheme="minorHAnsi"/>
                <w:color w:val="333333"/>
              </w:rPr>
            </w:pPr>
            <w:r w:rsidRPr="00A83F04">
              <w:rPr>
                <w:rFonts w:eastAsia="Times New Roman" w:cstheme="minorHAnsi"/>
                <w:color w:val="333333"/>
              </w:rPr>
              <w:t xml:space="preserve">The OECD Programme for International Student Assessment (PISA) is a collaborative effort among OECD member countries </w:t>
            </w:r>
            <w:r w:rsidR="003F660B" w:rsidRPr="00A83F04">
              <w:rPr>
                <w:rFonts w:eastAsia="Times New Roman" w:cstheme="minorHAnsi"/>
                <w:color w:val="333333"/>
              </w:rPr>
              <w:t xml:space="preserve">and partner countries/economies </w:t>
            </w:r>
            <w:r w:rsidRPr="00A83F04">
              <w:rPr>
                <w:rFonts w:eastAsia="Times New Roman" w:cstheme="minorHAnsi"/>
                <w:color w:val="333333"/>
              </w:rPr>
              <w:t xml:space="preserve">to measure how well 15-year-old students approaching the end of compulsory schooling are prepared to meet the challenges of today’s knowledge societies. The assessment is forward-looking: rather than focusing on the extent to which these students have mastered a specific school curriculum, it looks at their ability to use their knowledge and skills to meet real-life challenges. This orientation reflects a change in curricular goals and objectives, which are increasingly concerned with what students can do with what they learn at school. </w:t>
            </w:r>
          </w:p>
          <w:p w14:paraId="49A9CAB1" w14:textId="7E46864F" w:rsidR="00CC13D5" w:rsidRPr="00A83F04" w:rsidRDefault="00CC13D5" w:rsidP="00CC13D5">
            <w:pPr>
              <w:spacing w:before="100" w:beforeAutospacing="1" w:after="100" w:afterAutospacing="1" w:line="240" w:lineRule="auto"/>
              <w:jc w:val="both"/>
              <w:rPr>
                <w:rFonts w:eastAsia="Times New Roman" w:cstheme="minorHAnsi"/>
                <w:color w:val="333333"/>
              </w:rPr>
            </w:pPr>
            <w:r w:rsidRPr="00A83F04">
              <w:rPr>
                <w:rFonts w:eastAsia="Times New Roman" w:cstheme="minorHAnsi"/>
                <w:color w:val="333333"/>
              </w:rPr>
              <w:t xml:space="preserve">PISA surveys take place every three years. The first survey took place in 2000. </w:t>
            </w:r>
            <w:r w:rsidR="004834D4" w:rsidRPr="00A83F04">
              <w:rPr>
                <w:rFonts w:eastAsia="Times New Roman" w:cstheme="minorHAnsi"/>
                <w:color w:val="333333"/>
              </w:rPr>
              <w:t xml:space="preserve">The framework of the PISA survey is published </w:t>
            </w:r>
            <w:r w:rsidR="0087594F" w:rsidRPr="00A83F04">
              <w:rPr>
                <w:rFonts w:eastAsia="Times New Roman" w:cstheme="minorHAnsi"/>
                <w:color w:val="333333"/>
              </w:rPr>
              <w:t>in</w:t>
            </w:r>
            <w:r w:rsidR="004834D4" w:rsidRPr="00A83F04">
              <w:rPr>
                <w:rFonts w:eastAsia="Times New Roman" w:cstheme="minorHAnsi"/>
                <w:color w:val="333333"/>
              </w:rPr>
              <w:t xml:space="preserve"> the year of the assessment and a</w:t>
            </w:r>
            <w:r w:rsidRPr="00A83F04">
              <w:rPr>
                <w:rFonts w:eastAsia="Times New Roman" w:cstheme="minorHAnsi"/>
                <w:color w:val="333333"/>
              </w:rPr>
              <w:t xml:space="preserve"> series of reports are published the year following the assessment (the initial reports) and are followed subsequently by a wide range of thematic and technical reports. Examples of these reports can be viewed on the OECD PISA website at: </w:t>
            </w:r>
            <w:hyperlink r:id="rId10" w:history="1">
              <w:r w:rsidRPr="00A83F04">
                <w:rPr>
                  <w:rFonts w:eastAsia="Times New Roman" w:cstheme="minorHAnsi"/>
                  <w:color w:val="0000FF" w:themeColor="hyperlink"/>
                  <w:u w:val="single"/>
                </w:rPr>
                <w:t xml:space="preserve">http://www.oecd.org/pisa/publications/ </w:t>
              </w:r>
            </w:hyperlink>
            <w:r w:rsidRPr="00A83F04">
              <w:rPr>
                <w:rFonts w:eastAsia="Times New Roman" w:cstheme="minorHAnsi"/>
                <w:color w:val="333333"/>
              </w:rPr>
              <w:t xml:space="preserve">.The next survey will occur in </w:t>
            </w:r>
            <w:r w:rsidR="00DA39F2" w:rsidRPr="00A83F04">
              <w:rPr>
                <w:rFonts w:eastAsia="Times New Roman" w:cstheme="minorHAnsi"/>
                <w:color w:val="333333"/>
              </w:rPr>
              <w:t>2021</w:t>
            </w:r>
            <w:r w:rsidRPr="00A83F04">
              <w:rPr>
                <w:rFonts w:eastAsia="Times New Roman" w:cstheme="minorHAnsi"/>
                <w:color w:val="333333"/>
              </w:rPr>
              <w:t>. For each assessment, one of reading, mathematics and science is chosen as the major domain and given greater emphasis</w:t>
            </w:r>
            <w:r w:rsidR="0085428B" w:rsidRPr="00A83F04">
              <w:rPr>
                <w:rFonts w:eastAsia="Times New Roman" w:cstheme="minorHAnsi"/>
                <w:color w:val="333333"/>
              </w:rPr>
              <w:t xml:space="preserve"> and the framework is revised</w:t>
            </w:r>
            <w:r w:rsidRPr="00A83F04">
              <w:rPr>
                <w:rFonts w:eastAsia="Times New Roman" w:cstheme="minorHAnsi"/>
                <w:color w:val="333333"/>
              </w:rPr>
              <w:t>. The remaining two areas, the minor domains, are assessed less intensively. In 2000</w:t>
            </w:r>
            <w:r w:rsidR="009C2B7F" w:rsidRPr="00A83F04">
              <w:rPr>
                <w:rFonts w:eastAsia="Times New Roman" w:cstheme="minorHAnsi"/>
                <w:color w:val="333333"/>
              </w:rPr>
              <w:t>,</w:t>
            </w:r>
            <w:r w:rsidRPr="00A83F04">
              <w:rPr>
                <w:rFonts w:eastAsia="Times New Roman" w:cstheme="minorHAnsi"/>
                <w:color w:val="333333"/>
              </w:rPr>
              <w:t xml:space="preserve"> 2009</w:t>
            </w:r>
            <w:r w:rsidR="009C2B7F" w:rsidRPr="00A83F04">
              <w:rPr>
                <w:rFonts w:eastAsia="Times New Roman" w:cstheme="minorHAnsi"/>
                <w:color w:val="333333"/>
              </w:rPr>
              <w:t xml:space="preserve"> and 2018</w:t>
            </w:r>
            <w:r w:rsidRPr="00A83F04">
              <w:rPr>
                <w:rFonts w:eastAsia="Times New Roman" w:cstheme="minorHAnsi"/>
                <w:color w:val="333333"/>
              </w:rPr>
              <w:t xml:space="preserve"> the major domain was reading; in 2003</w:t>
            </w:r>
            <w:r w:rsidR="009C2B7F" w:rsidRPr="00A83F04">
              <w:rPr>
                <w:rFonts w:eastAsia="Times New Roman" w:cstheme="minorHAnsi"/>
                <w:color w:val="333333"/>
              </w:rPr>
              <w:t xml:space="preserve">, </w:t>
            </w:r>
            <w:r w:rsidRPr="00A83F04">
              <w:rPr>
                <w:rFonts w:eastAsia="Times New Roman" w:cstheme="minorHAnsi"/>
                <w:color w:val="333333"/>
              </w:rPr>
              <w:t>2012</w:t>
            </w:r>
            <w:r w:rsidR="009C2B7F" w:rsidRPr="00A83F04">
              <w:rPr>
                <w:rFonts w:eastAsia="Times New Roman" w:cstheme="minorHAnsi"/>
                <w:color w:val="333333"/>
              </w:rPr>
              <w:t xml:space="preserve"> and 2021</w:t>
            </w:r>
            <w:r w:rsidRPr="00A83F04">
              <w:rPr>
                <w:rFonts w:eastAsia="Times New Roman" w:cstheme="minorHAnsi"/>
                <w:color w:val="333333"/>
              </w:rPr>
              <w:t xml:space="preserve"> it was mathematics and in 2006 and 2015 it was science. In </w:t>
            </w:r>
            <w:r w:rsidR="00705F93" w:rsidRPr="00A83F04">
              <w:rPr>
                <w:rFonts w:eastAsia="Times New Roman" w:cstheme="minorHAnsi"/>
                <w:color w:val="333333"/>
              </w:rPr>
              <w:t xml:space="preserve">2024 </w:t>
            </w:r>
            <w:r w:rsidR="009C2B7F" w:rsidRPr="00A83F04">
              <w:rPr>
                <w:rFonts w:eastAsia="Times New Roman" w:cstheme="minorHAnsi"/>
                <w:color w:val="333333"/>
              </w:rPr>
              <w:t xml:space="preserve">it will be </w:t>
            </w:r>
            <w:r w:rsidR="00705F93" w:rsidRPr="00A83F04">
              <w:rPr>
                <w:rFonts w:eastAsia="Times New Roman" w:cstheme="minorHAnsi"/>
                <w:color w:val="333333"/>
              </w:rPr>
              <w:t>science</w:t>
            </w:r>
            <w:r w:rsidRPr="00A83F04">
              <w:rPr>
                <w:rFonts w:eastAsia="Times New Roman" w:cstheme="minorHAnsi"/>
                <w:color w:val="333333"/>
              </w:rPr>
              <w:t>.</w:t>
            </w:r>
          </w:p>
          <w:p w14:paraId="39FA4642" w14:textId="3151F638" w:rsidR="00CC13D5" w:rsidRPr="00A83F04" w:rsidRDefault="00CC13D5" w:rsidP="00CC13D5">
            <w:pPr>
              <w:spacing w:before="100" w:beforeAutospacing="1" w:after="100" w:afterAutospacing="1" w:line="240" w:lineRule="auto"/>
              <w:jc w:val="both"/>
              <w:rPr>
                <w:rFonts w:eastAsia="Times New Roman" w:cstheme="minorHAnsi"/>
                <w:color w:val="333333"/>
              </w:rPr>
            </w:pPr>
            <w:r w:rsidRPr="00A83F04">
              <w:rPr>
                <w:rFonts w:eastAsia="Times New Roman" w:cstheme="minorHAnsi"/>
                <w:color w:val="333333"/>
              </w:rPr>
              <w:t xml:space="preserve">PISA is an age-based survey, assessing 15-year-old students in school in grade 7 or higher. These students are approaching the end of compulsory schooling in most participating countries, and school enrolment at this level is close to universal in almost all OECD countries. </w:t>
            </w:r>
            <w:r w:rsidR="00223B02" w:rsidRPr="00A83F04">
              <w:rPr>
                <w:rFonts w:eastAsia="Times New Roman" w:cstheme="minorHAnsi"/>
                <w:color w:val="333333"/>
              </w:rPr>
              <w:t xml:space="preserve">In 2018, 79 countries and economies participated in the PISA Main Survey, for PISA 2021 around 90 participants are </w:t>
            </w:r>
            <w:r w:rsidR="00DA39F2" w:rsidRPr="00A83F04">
              <w:rPr>
                <w:rFonts w:eastAsia="Times New Roman" w:cstheme="minorHAnsi"/>
                <w:color w:val="333333"/>
              </w:rPr>
              <w:t>estimated</w:t>
            </w:r>
            <w:r w:rsidR="00223B02" w:rsidRPr="00A83F04">
              <w:rPr>
                <w:rFonts w:eastAsia="Times New Roman" w:cstheme="minorHAnsi"/>
                <w:color w:val="333333"/>
              </w:rPr>
              <w:t xml:space="preserve">. This number is expected to increase further for PISA 2024. Over the course of the project, more than 90 countries worldwide have taken part in the diverse data collection </w:t>
            </w:r>
            <w:r w:rsidR="00380043" w:rsidRPr="00A83F04">
              <w:rPr>
                <w:rFonts w:eastAsia="Times New Roman" w:cstheme="minorHAnsi"/>
                <w:color w:val="333333"/>
              </w:rPr>
              <w:t>exercises</w:t>
            </w:r>
            <w:r w:rsidR="00223B02" w:rsidRPr="00A83F04">
              <w:rPr>
                <w:rFonts w:eastAsia="Times New Roman" w:cstheme="minorHAnsi"/>
                <w:color w:val="333333"/>
              </w:rPr>
              <w:t>.</w:t>
            </w:r>
            <w:r w:rsidR="002B1BBB" w:rsidRPr="00A83F04">
              <w:rPr>
                <w:rFonts w:eastAsia="Times New Roman" w:cstheme="minorHAnsi"/>
                <w:color w:val="333333"/>
              </w:rPr>
              <w:t xml:space="preserve"> </w:t>
            </w:r>
            <w:r w:rsidRPr="00A83F04">
              <w:rPr>
                <w:rFonts w:eastAsia="Times New Roman" w:cstheme="minorHAnsi"/>
                <w:color w:val="333333"/>
              </w:rPr>
              <w:t xml:space="preserve">The PISA assessments take a literacy perspective, which focuses on the extent to which students can apply the knowledge and skills they have learned and practised at school when confronted with situations and challenges for which that knowledge may be relevant. That is, PISA assesses the extent to which students can use their reading skills to understand and interpret the various kinds of written material that they are likely to meet as they negotiate their daily lives; the extent to which students can use their mathematical knowledge and skills to solve various kinds of numerical and spatial challenges and problems; and the extent to which students can use their scientific knowledge and skills to understand, interpret and resolve various kinds of scientific situations and challenges. </w:t>
            </w:r>
          </w:p>
          <w:p w14:paraId="31EF1762" w14:textId="2E1F0CB2" w:rsidR="00CC13D5" w:rsidRPr="00A83F04" w:rsidRDefault="00CC13D5" w:rsidP="00CC13D5">
            <w:pPr>
              <w:spacing w:before="100" w:beforeAutospacing="1" w:after="100" w:afterAutospacing="1" w:line="240" w:lineRule="auto"/>
              <w:jc w:val="both"/>
              <w:rPr>
                <w:rFonts w:eastAsia="Times New Roman" w:cstheme="minorHAnsi"/>
                <w:color w:val="333333"/>
              </w:rPr>
            </w:pPr>
            <w:r w:rsidRPr="00A83F04">
              <w:rPr>
                <w:rFonts w:eastAsia="Times New Roman" w:cstheme="minorHAnsi"/>
                <w:color w:val="333333"/>
              </w:rPr>
              <w:t xml:space="preserve">PISA also allows for the assessment of additional cross-curricular competencies. For example, in PISA </w:t>
            </w:r>
            <w:r w:rsidR="00223B02" w:rsidRPr="00A83F04">
              <w:rPr>
                <w:rFonts w:eastAsia="Times New Roman" w:cstheme="minorHAnsi"/>
                <w:color w:val="333333"/>
              </w:rPr>
              <w:t>2012</w:t>
            </w:r>
            <w:r w:rsidRPr="00A83F04">
              <w:rPr>
                <w:rFonts w:eastAsia="Times New Roman" w:cstheme="minorHAnsi"/>
                <w:color w:val="333333"/>
              </w:rPr>
              <w:t>, an assessment of general problem-solving competencies was included</w:t>
            </w:r>
            <w:r w:rsidR="000847D9" w:rsidRPr="00A83F04">
              <w:rPr>
                <w:rFonts w:eastAsia="Times New Roman" w:cstheme="minorHAnsi"/>
                <w:color w:val="333333"/>
              </w:rPr>
              <w:t>, in 2015 an assessment of collaborative problem solving was included, and PISA global competence</w:t>
            </w:r>
            <w:r w:rsidR="00223B02" w:rsidRPr="00A83F04">
              <w:rPr>
                <w:rFonts w:eastAsia="Times New Roman" w:cstheme="minorHAnsi"/>
                <w:color w:val="333333"/>
              </w:rPr>
              <w:t xml:space="preserve"> was assessed</w:t>
            </w:r>
            <w:r w:rsidR="00DA39F2" w:rsidRPr="00A83F04">
              <w:rPr>
                <w:rFonts w:eastAsia="Times New Roman" w:cstheme="minorHAnsi"/>
                <w:color w:val="333333"/>
              </w:rPr>
              <w:t xml:space="preserve"> in PISA 2018</w:t>
            </w:r>
            <w:r w:rsidR="00223B02" w:rsidRPr="00A83F04">
              <w:rPr>
                <w:rFonts w:eastAsia="Times New Roman" w:cstheme="minorHAnsi"/>
                <w:color w:val="333333"/>
              </w:rPr>
              <w:t xml:space="preserve"> and PISA 2021 will measure student proficiency in creative thinking</w:t>
            </w:r>
            <w:r w:rsidR="000847D9" w:rsidRPr="00A83F04">
              <w:rPr>
                <w:rFonts w:eastAsia="Times New Roman" w:cstheme="minorHAnsi"/>
                <w:color w:val="333333"/>
              </w:rPr>
              <w:t>. The cross-curricular assessment domain for PISA 202</w:t>
            </w:r>
            <w:r w:rsidR="00223B02" w:rsidRPr="00A83F04">
              <w:rPr>
                <w:rFonts w:eastAsia="Times New Roman" w:cstheme="minorHAnsi"/>
                <w:color w:val="333333"/>
              </w:rPr>
              <w:t>4</w:t>
            </w:r>
            <w:r w:rsidR="000847D9" w:rsidRPr="00A83F04">
              <w:rPr>
                <w:rFonts w:eastAsia="Times New Roman" w:cstheme="minorHAnsi"/>
                <w:color w:val="333333"/>
              </w:rPr>
              <w:t xml:space="preserve"> </w:t>
            </w:r>
            <w:r w:rsidR="00223B02" w:rsidRPr="00A83F04">
              <w:rPr>
                <w:rFonts w:eastAsia="Times New Roman" w:cstheme="minorHAnsi"/>
                <w:color w:val="333333"/>
              </w:rPr>
              <w:t>will be learning in a digital world. PISA 2024 will also contain an optional assessment of foreign language proficiency.</w:t>
            </w:r>
            <w:r w:rsidR="002B1BBB" w:rsidRPr="00A83F04">
              <w:rPr>
                <w:rFonts w:eastAsia="Times New Roman" w:cstheme="minorHAnsi"/>
                <w:color w:val="333333"/>
              </w:rPr>
              <w:t xml:space="preserve"> </w:t>
            </w:r>
            <w:r w:rsidR="000847D9" w:rsidRPr="00A83F04">
              <w:rPr>
                <w:rFonts w:eastAsia="Times New Roman" w:cstheme="minorHAnsi"/>
                <w:color w:val="333333"/>
              </w:rPr>
              <w:t xml:space="preserve">Since PISA 2015, </w:t>
            </w:r>
            <w:r w:rsidR="00626B79" w:rsidRPr="00A83F04">
              <w:rPr>
                <w:rFonts w:eastAsia="Times New Roman" w:cstheme="minorHAnsi"/>
                <w:color w:val="333333"/>
              </w:rPr>
              <w:t xml:space="preserve">computer-based delivery </w:t>
            </w:r>
            <w:r w:rsidR="000847D9" w:rsidRPr="00A83F04">
              <w:rPr>
                <w:rFonts w:eastAsia="Times New Roman" w:cstheme="minorHAnsi"/>
                <w:color w:val="333333"/>
              </w:rPr>
              <w:t xml:space="preserve">has been </w:t>
            </w:r>
            <w:r w:rsidR="00626B79" w:rsidRPr="00A83F04">
              <w:rPr>
                <w:rFonts w:eastAsia="Times New Roman" w:cstheme="minorHAnsi"/>
                <w:color w:val="333333"/>
              </w:rPr>
              <w:t>the main mode of administration of the PISA test</w:t>
            </w:r>
            <w:r w:rsidR="000847D9" w:rsidRPr="00A83F04">
              <w:rPr>
                <w:rFonts w:eastAsia="Times New Roman" w:cstheme="minorHAnsi"/>
                <w:color w:val="333333"/>
              </w:rPr>
              <w:t>. A paper-and-pencil version of the test, based on test items from previous cycles, will continue to be available for countries that do not participate in computer-based delivery</w:t>
            </w:r>
            <w:r w:rsidR="00223B02" w:rsidRPr="00A83F04">
              <w:rPr>
                <w:rFonts w:eastAsia="Times New Roman" w:cstheme="minorHAnsi"/>
                <w:color w:val="333333"/>
              </w:rPr>
              <w:t xml:space="preserve"> and has been aligned with the outcomes of the PISA for Development initiative in the PISA 2021 cycle</w:t>
            </w:r>
            <w:r w:rsidR="00BA2A94" w:rsidRPr="00A83F04">
              <w:rPr>
                <w:rFonts w:eastAsia="Times New Roman" w:cstheme="minorHAnsi"/>
                <w:color w:val="333333"/>
              </w:rPr>
              <w:t>.</w:t>
            </w:r>
            <w:r w:rsidR="002B1BBB" w:rsidRPr="00A83F04">
              <w:rPr>
                <w:rFonts w:eastAsia="Times New Roman" w:cstheme="minorHAnsi"/>
                <w:color w:val="333333"/>
              </w:rPr>
              <w:t xml:space="preserve"> </w:t>
            </w:r>
            <w:r w:rsidRPr="00A83F04">
              <w:rPr>
                <w:rFonts w:eastAsia="Times New Roman" w:cstheme="minorHAnsi"/>
                <w:color w:val="333333"/>
              </w:rPr>
              <w:t xml:space="preserve">PISA also uses Student Questionnaires to collect information from students on various aspects of their home, family and school background, and School Questionnaires to collect information from schools about </w:t>
            </w:r>
            <w:r w:rsidRPr="00A83F04">
              <w:rPr>
                <w:rFonts w:eastAsia="Times New Roman" w:cstheme="minorHAnsi"/>
                <w:color w:val="333333"/>
              </w:rPr>
              <w:lastRenderedPageBreak/>
              <w:t xml:space="preserve">various aspects of organisation and educational provision in schools. </w:t>
            </w:r>
            <w:r w:rsidR="00223B02" w:rsidRPr="00A83F04">
              <w:rPr>
                <w:rFonts w:eastAsia="Times New Roman" w:cstheme="minorHAnsi"/>
                <w:color w:val="333333"/>
              </w:rPr>
              <w:t>Additional Student Questionnaire modules, in PISA 2024 ICT familiarity, and a Parent and Teacher Questionnaire are generally offered to countries as an optional assessment.</w:t>
            </w:r>
            <w:r w:rsidR="002B1BBB" w:rsidRPr="00A83F04">
              <w:rPr>
                <w:rFonts w:eastAsia="Times New Roman" w:cstheme="minorHAnsi"/>
                <w:color w:val="333333"/>
              </w:rPr>
              <w:t xml:space="preserve"> </w:t>
            </w:r>
            <w:r w:rsidRPr="00A83F04">
              <w:rPr>
                <w:rFonts w:eastAsia="Times New Roman" w:cstheme="minorHAnsi"/>
                <w:color w:val="333333"/>
              </w:rPr>
              <w:t>Using the data from Student, Parent</w:t>
            </w:r>
            <w:r w:rsidR="003A110D" w:rsidRPr="00A83F04">
              <w:rPr>
                <w:rFonts w:eastAsia="Times New Roman" w:cstheme="minorHAnsi"/>
                <w:color w:val="333333"/>
              </w:rPr>
              <w:t>, Teacher</w:t>
            </w:r>
            <w:r w:rsidRPr="00A83F04">
              <w:rPr>
                <w:rFonts w:eastAsia="Times New Roman" w:cstheme="minorHAnsi"/>
                <w:color w:val="333333"/>
              </w:rPr>
              <w:t xml:space="preserve"> and School Questionnaires, analyses linking contextual information with student achievement can address: </w:t>
            </w:r>
          </w:p>
          <w:p w14:paraId="3C60E20B" w14:textId="77777777" w:rsidR="00CC13D5" w:rsidRPr="00A83F04" w:rsidRDefault="00CC13D5" w:rsidP="00CC13D5">
            <w:pPr>
              <w:numPr>
                <w:ilvl w:val="0"/>
                <w:numId w:val="3"/>
              </w:numPr>
              <w:spacing w:before="100" w:beforeAutospacing="1" w:after="100" w:afterAutospacing="1" w:line="240" w:lineRule="auto"/>
              <w:jc w:val="both"/>
              <w:rPr>
                <w:rFonts w:eastAsia="Times New Roman" w:cstheme="minorHAnsi"/>
                <w:color w:val="333333"/>
              </w:rPr>
            </w:pPr>
            <w:r w:rsidRPr="00A83F04">
              <w:rPr>
                <w:rFonts w:eastAsia="Times New Roman" w:cstheme="minorHAnsi"/>
                <w:color w:val="333333"/>
              </w:rPr>
              <w:t xml:space="preserve">differences between countries in the relationships between student-level factors (such as gender and socio-economic background) and achievement; </w:t>
            </w:r>
          </w:p>
          <w:p w14:paraId="6BCC98DC" w14:textId="77777777" w:rsidR="00CC13D5" w:rsidRPr="00A83F04" w:rsidRDefault="00CC13D5" w:rsidP="00CC13D5">
            <w:pPr>
              <w:numPr>
                <w:ilvl w:val="0"/>
                <w:numId w:val="3"/>
              </w:numPr>
              <w:spacing w:before="100" w:beforeAutospacing="1" w:after="100" w:afterAutospacing="1" w:line="240" w:lineRule="auto"/>
              <w:jc w:val="both"/>
              <w:rPr>
                <w:rFonts w:eastAsia="Times New Roman" w:cstheme="minorHAnsi"/>
                <w:color w:val="333333"/>
              </w:rPr>
            </w:pPr>
            <w:r w:rsidRPr="00A83F04">
              <w:rPr>
                <w:rFonts w:eastAsia="Times New Roman" w:cstheme="minorHAnsi"/>
                <w:color w:val="333333"/>
              </w:rPr>
              <w:t xml:space="preserve">differences in the relationships between school-level factors and achievement across countries; </w:t>
            </w:r>
          </w:p>
          <w:p w14:paraId="23111A19" w14:textId="77777777" w:rsidR="00CC13D5" w:rsidRPr="00A83F04" w:rsidRDefault="00CC13D5" w:rsidP="00CC13D5">
            <w:pPr>
              <w:numPr>
                <w:ilvl w:val="0"/>
                <w:numId w:val="3"/>
              </w:numPr>
              <w:spacing w:before="100" w:beforeAutospacing="1" w:after="100" w:afterAutospacing="1" w:line="240" w:lineRule="auto"/>
              <w:jc w:val="both"/>
              <w:rPr>
                <w:rFonts w:eastAsia="Times New Roman" w:cstheme="minorHAnsi"/>
                <w:color w:val="333333"/>
              </w:rPr>
            </w:pPr>
            <w:r w:rsidRPr="00A83F04">
              <w:rPr>
                <w:rFonts w:eastAsia="Times New Roman" w:cstheme="minorHAnsi"/>
                <w:color w:val="333333"/>
              </w:rPr>
              <w:t xml:space="preserve">differences in the proportion of variation in achievement between (rather than within) schools, and differences in this value across countries; </w:t>
            </w:r>
          </w:p>
          <w:p w14:paraId="6222F364" w14:textId="77777777" w:rsidR="00CC13D5" w:rsidRPr="00A83F04" w:rsidRDefault="00CC13D5" w:rsidP="00CC13D5">
            <w:pPr>
              <w:numPr>
                <w:ilvl w:val="0"/>
                <w:numId w:val="3"/>
              </w:numPr>
              <w:spacing w:before="100" w:beforeAutospacing="1" w:after="100" w:afterAutospacing="1" w:line="240" w:lineRule="auto"/>
              <w:jc w:val="both"/>
              <w:rPr>
                <w:rFonts w:eastAsia="Times New Roman" w:cstheme="minorHAnsi"/>
                <w:color w:val="333333"/>
              </w:rPr>
            </w:pPr>
            <w:r w:rsidRPr="00A83F04">
              <w:rPr>
                <w:rFonts w:eastAsia="Times New Roman" w:cstheme="minorHAnsi"/>
                <w:color w:val="333333"/>
              </w:rPr>
              <w:t xml:space="preserve">differences between countries in the extent to which schools moderate or increase the effects of individual-level student factors and student achievement; </w:t>
            </w:r>
          </w:p>
          <w:p w14:paraId="71E03A03" w14:textId="77777777" w:rsidR="00CC13D5" w:rsidRPr="00A83F04" w:rsidRDefault="00CC13D5" w:rsidP="00CC13D5">
            <w:pPr>
              <w:numPr>
                <w:ilvl w:val="0"/>
                <w:numId w:val="3"/>
              </w:numPr>
              <w:spacing w:before="100" w:beforeAutospacing="1" w:after="100" w:afterAutospacing="1" w:line="240" w:lineRule="auto"/>
              <w:jc w:val="both"/>
              <w:rPr>
                <w:rFonts w:eastAsia="Times New Roman" w:cstheme="minorHAnsi"/>
                <w:color w:val="333333"/>
              </w:rPr>
            </w:pPr>
            <w:r w:rsidRPr="00A83F04">
              <w:rPr>
                <w:rFonts w:eastAsia="Times New Roman" w:cstheme="minorHAnsi"/>
                <w:color w:val="333333"/>
              </w:rPr>
              <w:t xml:space="preserve">differences in education systems and national context that are related to differences in student achievement across countries; and </w:t>
            </w:r>
          </w:p>
          <w:p w14:paraId="421E7A81" w14:textId="27441DFD" w:rsidR="00CC13D5" w:rsidRPr="00A83F04" w:rsidRDefault="00CC13D5" w:rsidP="00CC13D5">
            <w:pPr>
              <w:numPr>
                <w:ilvl w:val="0"/>
                <w:numId w:val="3"/>
              </w:numPr>
              <w:spacing w:before="100" w:beforeAutospacing="1" w:after="100" w:afterAutospacing="1" w:line="240" w:lineRule="auto"/>
              <w:jc w:val="both"/>
              <w:rPr>
                <w:rFonts w:eastAsia="Times New Roman" w:cstheme="minorHAnsi"/>
                <w:color w:val="333333"/>
              </w:rPr>
            </w:pPr>
            <w:r w:rsidRPr="00A83F04">
              <w:rPr>
                <w:rFonts w:eastAsia="Times New Roman" w:cstheme="minorHAnsi"/>
                <w:color w:val="333333"/>
              </w:rPr>
              <w:t xml:space="preserve">through links to </w:t>
            </w:r>
            <w:r w:rsidR="00DA39F2" w:rsidRPr="00A83F04">
              <w:rPr>
                <w:rFonts w:eastAsia="Times New Roman" w:cstheme="minorHAnsi"/>
                <w:color w:val="333333"/>
              </w:rPr>
              <w:t>previous PISA studies</w:t>
            </w:r>
            <w:r w:rsidR="00223B02" w:rsidRPr="00A83F04">
              <w:rPr>
                <w:rFonts w:eastAsia="Times New Roman" w:cstheme="minorHAnsi"/>
                <w:color w:val="333333"/>
              </w:rPr>
              <w:t xml:space="preserve"> </w:t>
            </w:r>
            <w:r w:rsidRPr="00A83F04">
              <w:rPr>
                <w:rFonts w:eastAsia="Times New Roman" w:cstheme="minorHAnsi"/>
                <w:color w:val="333333"/>
              </w:rPr>
              <w:t xml:space="preserve">changes in any or all of these relationships over time. </w:t>
            </w:r>
          </w:p>
          <w:p w14:paraId="264E729E" w14:textId="77777777" w:rsidR="00573199" w:rsidRPr="00A83F04" w:rsidRDefault="00CC13D5" w:rsidP="00CC0406">
            <w:pPr>
              <w:spacing w:before="100" w:beforeAutospacing="1" w:after="100" w:afterAutospacing="1" w:line="240" w:lineRule="auto"/>
              <w:jc w:val="both"/>
              <w:rPr>
                <w:rFonts w:eastAsia="Times New Roman" w:cstheme="minorHAnsi"/>
              </w:rPr>
            </w:pPr>
            <w:r w:rsidRPr="00A83F04">
              <w:rPr>
                <w:rFonts w:eastAsia="Times New Roman" w:cstheme="minorHAnsi"/>
              </w:rPr>
              <w:t>Through the collection of such information at the student and school level on a cross-nationally comparable basis, PISA adds significantly to the knowledge base that was previously available from national official statistics, such as aggregate national statistics on the educational programmes completed and the qualifications obtained by individuals</w:t>
            </w:r>
            <w:r w:rsidR="007F7BDB" w:rsidRPr="00A83F04">
              <w:rPr>
                <w:rFonts w:eastAsia="Times New Roman" w:cstheme="minorHAnsi"/>
              </w:rPr>
              <w:t xml:space="preserve">. </w:t>
            </w:r>
          </w:p>
          <w:p w14:paraId="2A8FE361" w14:textId="1362C0C5" w:rsidR="00CC13D5" w:rsidRPr="00A83F04" w:rsidRDefault="00CC13D5" w:rsidP="00CC13D5">
            <w:pPr>
              <w:pStyle w:val="ListParagraph"/>
              <w:numPr>
                <w:ilvl w:val="0"/>
                <w:numId w:val="4"/>
              </w:numPr>
              <w:jc w:val="both"/>
              <w:outlineLvl w:val="0"/>
              <w:rPr>
                <w:rFonts w:cstheme="minorHAnsi"/>
                <w:b/>
              </w:rPr>
            </w:pPr>
            <w:r w:rsidRPr="00A83F04">
              <w:rPr>
                <w:rFonts w:cstheme="minorHAnsi"/>
                <w:b/>
              </w:rPr>
              <w:t>DESCRIPTION OF SERVICES REQUIRED</w:t>
            </w:r>
          </w:p>
          <w:p w14:paraId="32CA93F8" w14:textId="33B5A388" w:rsidR="00DB5CB9" w:rsidRPr="00A83F04" w:rsidRDefault="00CC13D5" w:rsidP="00DB5CB9">
            <w:pPr>
              <w:jc w:val="both"/>
              <w:rPr>
                <w:rFonts w:cstheme="minorHAnsi"/>
              </w:rPr>
            </w:pPr>
            <w:r w:rsidRPr="00A83F04">
              <w:rPr>
                <w:rFonts w:cstheme="minorHAnsi"/>
              </w:rPr>
              <w:t xml:space="preserve">PISA </w:t>
            </w:r>
            <w:r w:rsidR="0087594F" w:rsidRPr="00A83F04">
              <w:rPr>
                <w:rFonts w:cstheme="minorHAnsi"/>
              </w:rPr>
              <w:t xml:space="preserve">2024 </w:t>
            </w:r>
            <w:r w:rsidR="00CC0406" w:rsidRPr="00A83F04">
              <w:rPr>
                <w:rFonts w:cstheme="minorHAnsi"/>
              </w:rPr>
              <w:t xml:space="preserve">structure </w:t>
            </w:r>
            <w:r w:rsidRPr="00A83F04">
              <w:rPr>
                <w:rFonts w:cstheme="minorHAnsi"/>
              </w:rPr>
              <w:t>will be divided in Cores</w:t>
            </w:r>
            <w:r w:rsidR="007F7BDB" w:rsidRPr="00A83F04">
              <w:rPr>
                <w:rFonts w:cstheme="minorHAnsi"/>
              </w:rPr>
              <w:t xml:space="preserve"> </w:t>
            </w:r>
            <w:r w:rsidR="00CC0406" w:rsidRPr="00A83F04">
              <w:rPr>
                <w:rFonts w:cstheme="minorHAnsi"/>
              </w:rPr>
              <w:t>and potential candidates will be allowed to apply to one or more cores.</w:t>
            </w:r>
            <w:r w:rsidR="00DB5CB9" w:rsidRPr="00A83F04">
              <w:rPr>
                <w:rFonts w:cstheme="minorHAnsi"/>
              </w:rPr>
              <w:t xml:space="preserve"> The following graph details the preliminary overall project structure of PISA 2024:</w:t>
            </w:r>
            <w:r w:rsidR="002B1BBB" w:rsidRPr="00A83F04">
              <w:rPr>
                <w:rFonts w:cstheme="minorHAnsi"/>
              </w:rPr>
              <w:t xml:space="preserve">  </w:t>
            </w:r>
          </w:p>
          <w:p w14:paraId="2D3ECFA9" w14:textId="4B69DE17" w:rsidR="00DB5CB9" w:rsidRPr="00A83F04" w:rsidRDefault="0057131F" w:rsidP="0014454E">
            <w:pPr>
              <w:jc w:val="center"/>
              <w:rPr>
                <w:rFonts w:cstheme="minorHAnsi"/>
              </w:rPr>
            </w:pPr>
            <w:r>
              <w:rPr>
                <w:rFonts w:cstheme="minorHAnsi"/>
                <w:noProof/>
              </w:rPr>
              <w:drawing>
                <wp:inline distT="0" distB="0" distL="0" distR="0" wp14:anchorId="36981674" wp14:editId="0CCB7D73">
                  <wp:extent cx="5907578" cy="172904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9703" b="36925"/>
                          <a:stretch/>
                        </pic:blipFill>
                        <pic:spPr bwMode="auto">
                          <a:xfrm>
                            <a:off x="0" y="0"/>
                            <a:ext cx="5919145" cy="1732433"/>
                          </a:xfrm>
                          <a:prstGeom prst="rect">
                            <a:avLst/>
                          </a:prstGeom>
                          <a:noFill/>
                          <a:ln>
                            <a:noFill/>
                          </a:ln>
                          <a:extLst>
                            <a:ext uri="{53640926-AAD7-44D8-BBD7-CCE9431645EC}">
                              <a14:shadowObscured xmlns:a14="http://schemas.microsoft.com/office/drawing/2010/main"/>
                            </a:ext>
                          </a:extLst>
                        </pic:spPr>
                      </pic:pic>
                    </a:graphicData>
                  </a:graphic>
                </wp:inline>
              </w:drawing>
            </w:r>
          </w:p>
          <w:p w14:paraId="7C59CC83" w14:textId="77777777" w:rsidR="00DB5CB9" w:rsidRPr="00A83F04" w:rsidRDefault="00DB5CB9" w:rsidP="00A731AB">
            <w:pPr>
              <w:pStyle w:val="Default"/>
              <w:jc w:val="both"/>
              <w:rPr>
                <w:rFonts w:asciiTheme="minorHAnsi" w:hAnsiTheme="minorHAnsi" w:cstheme="minorHAnsi"/>
                <w:color w:val="auto"/>
                <w:sz w:val="22"/>
                <w:szCs w:val="22"/>
              </w:rPr>
            </w:pPr>
            <w:r w:rsidRPr="00A83F04">
              <w:rPr>
                <w:rFonts w:asciiTheme="minorHAnsi" w:hAnsiTheme="minorHAnsi" w:cstheme="minorHAnsi"/>
                <w:color w:val="auto"/>
                <w:sz w:val="22"/>
                <w:szCs w:val="22"/>
              </w:rPr>
              <w:t>The following services are required for the PISA 2024 survey:</w:t>
            </w:r>
          </w:p>
          <w:p w14:paraId="73453DC9" w14:textId="77777777" w:rsidR="00DB5CB9" w:rsidRPr="00A83F04" w:rsidRDefault="00DB5CB9" w:rsidP="00A731AB">
            <w:pPr>
              <w:pStyle w:val="Default"/>
              <w:jc w:val="both"/>
              <w:rPr>
                <w:rFonts w:asciiTheme="minorHAnsi" w:hAnsiTheme="minorHAnsi" w:cstheme="minorHAnsi"/>
                <w:color w:val="auto"/>
                <w:sz w:val="22"/>
                <w:szCs w:val="22"/>
              </w:rPr>
            </w:pPr>
          </w:p>
          <w:p w14:paraId="03B5DB47" w14:textId="1C5B5BBC" w:rsidR="00E51B6A" w:rsidRPr="00A83F04" w:rsidRDefault="00C2784E" w:rsidP="00A731AB">
            <w:pPr>
              <w:pStyle w:val="Default"/>
              <w:numPr>
                <w:ilvl w:val="0"/>
                <w:numId w:val="21"/>
              </w:numPr>
              <w:jc w:val="both"/>
              <w:rPr>
                <w:rFonts w:asciiTheme="minorHAnsi" w:hAnsiTheme="minorHAnsi" w:cstheme="minorHAnsi"/>
                <w:color w:val="auto"/>
                <w:sz w:val="22"/>
                <w:szCs w:val="22"/>
              </w:rPr>
            </w:pPr>
            <w:r w:rsidRPr="00A83F04">
              <w:rPr>
                <w:rFonts w:asciiTheme="minorHAnsi" w:hAnsiTheme="minorHAnsi" w:cstheme="minorHAnsi"/>
                <w:b/>
                <w:color w:val="auto"/>
                <w:sz w:val="22"/>
                <w:szCs w:val="22"/>
              </w:rPr>
              <w:t>Core 1</w:t>
            </w:r>
            <w:r w:rsidR="00E51B6A" w:rsidRPr="00A83F04">
              <w:rPr>
                <w:rFonts w:asciiTheme="minorHAnsi" w:hAnsiTheme="minorHAnsi" w:cstheme="minorHAnsi"/>
                <w:b/>
                <w:color w:val="auto"/>
                <w:sz w:val="22"/>
                <w:szCs w:val="22"/>
              </w:rPr>
              <w:t>A</w:t>
            </w:r>
            <w:r w:rsidRPr="00A83F04">
              <w:rPr>
                <w:rFonts w:asciiTheme="minorHAnsi" w:hAnsiTheme="minorHAnsi" w:cstheme="minorHAnsi"/>
                <w:b/>
                <w:color w:val="auto"/>
                <w:sz w:val="22"/>
                <w:szCs w:val="22"/>
              </w:rPr>
              <w:t>:</w:t>
            </w:r>
            <w:r w:rsidRPr="00A83F04">
              <w:rPr>
                <w:rFonts w:asciiTheme="minorHAnsi" w:hAnsiTheme="minorHAnsi" w:cstheme="minorHAnsi"/>
                <w:color w:val="auto"/>
                <w:sz w:val="22"/>
                <w:szCs w:val="22"/>
              </w:rPr>
              <w:t xml:space="preserve"> </w:t>
            </w:r>
            <w:r w:rsidR="002B1BBB" w:rsidRPr="00A83F04">
              <w:rPr>
                <w:rFonts w:asciiTheme="minorHAnsi" w:hAnsiTheme="minorHAnsi" w:cstheme="minorHAnsi"/>
                <w:color w:val="auto"/>
                <w:sz w:val="22"/>
                <w:szCs w:val="22"/>
              </w:rPr>
              <w:t>Test</w:t>
            </w:r>
            <w:r w:rsidRPr="00A83F04">
              <w:rPr>
                <w:rFonts w:asciiTheme="minorHAnsi" w:hAnsiTheme="minorHAnsi" w:cstheme="minorHAnsi"/>
                <w:color w:val="auto"/>
                <w:sz w:val="22"/>
                <w:szCs w:val="22"/>
              </w:rPr>
              <w:t xml:space="preserve"> </w:t>
            </w:r>
            <w:r w:rsidR="0082458D" w:rsidRPr="00A83F04">
              <w:rPr>
                <w:rFonts w:asciiTheme="minorHAnsi" w:hAnsiTheme="minorHAnsi" w:cstheme="minorHAnsi"/>
                <w:color w:val="auto"/>
                <w:sz w:val="22"/>
                <w:szCs w:val="22"/>
              </w:rPr>
              <w:t>d</w:t>
            </w:r>
            <w:r w:rsidRPr="00A83F04">
              <w:rPr>
                <w:rFonts w:asciiTheme="minorHAnsi" w:hAnsiTheme="minorHAnsi" w:cstheme="minorHAnsi"/>
                <w:color w:val="auto"/>
                <w:sz w:val="22"/>
                <w:szCs w:val="22"/>
              </w:rPr>
              <w:t xml:space="preserve">evelopment, </w:t>
            </w:r>
            <w:r w:rsidR="0082458D" w:rsidRPr="00A83F04">
              <w:rPr>
                <w:rFonts w:asciiTheme="minorHAnsi" w:hAnsiTheme="minorHAnsi" w:cstheme="minorHAnsi"/>
                <w:color w:val="auto"/>
                <w:sz w:val="22"/>
                <w:szCs w:val="22"/>
              </w:rPr>
              <w:t>capacity b</w:t>
            </w:r>
            <w:r w:rsidRPr="00A83F04">
              <w:rPr>
                <w:rFonts w:asciiTheme="minorHAnsi" w:hAnsiTheme="minorHAnsi" w:cstheme="minorHAnsi"/>
                <w:color w:val="auto"/>
                <w:sz w:val="22"/>
                <w:szCs w:val="22"/>
              </w:rPr>
              <w:t xml:space="preserve">uilding, </w:t>
            </w:r>
            <w:r w:rsidR="0082458D" w:rsidRPr="00A83F04">
              <w:rPr>
                <w:rFonts w:asciiTheme="minorHAnsi" w:hAnsiTheme="minorHAnsi" w:cstheme="minorHAnsi"/>
                <w:color w:val="auto"/>
                <w:sz w:val="22"/>
                <w:szCs w:val="22"/>
              </w:rPr>
              <w:t>i</w:t>
            </w:r>
            <w:r w:rsidRPr="00A83F04">
              <w:rPr>
                <w:rFonts w:asciiTheme="minorHAnsi" w:hAnsiTheme="minorHAnsi" w:cstheme="minorHAnsi"/>
                <w:color w:val="auto"/>
                <w:sz w:val="22"/>
                <w:szCs w:val="22"/>
              </w:rPr>
              <w:t xml:space="preserve">mplementation </w:t>
            </w:r>
            <w:r w:rsidR="0082458D" w:rsidRPr="00A83F04">
              <w:rPr>
                <w:rFonts w:asciiTheme="minorHAnsi" w:hAnsiTheme="minorHAnsi" w:cstheme="minorHAnsi"/>
                <w:color w:val="auto"/>
                <w:sz w:val="22"/>
                <w:szCs w:val="22"/>
              </w:rPr>
              <w:t>and quality c</w:t>
            </w:r>
            <w:r w:rsidRPr="00A83F04">
              <w:rPr>
                <w:rFonts w:asciiTheme="minorHAnsi" w:hAnsiTheme="minorHAnsi" w:cstheme="minorHAnsi"/>
                <w:color w:val="auto"/>
                <w:sz w:val="22"/>
                <w:szCs w:val="22"/>
              </w:rPr>
              <w:t>ontrol</w:t>
            </w:r>
            <w:r w:rsidR="00055CAB">
              <w:rPr>
                <w:rFonts w:asciiTheme="minorHAnsi" w:hAnsiTheme="minorHAnsi" w:cstheme="minorHAnsi"/>
                <w:color w:val="auto"/>
                <w:sz w:val="22"/>
                <w:szCs w:val="22"/>
              </w:rPr>
              <w:t xml:space="preserve"> (incl. linguistic quality control)</w:t>
            </w:r>
            <w:r w:rsidR="0082458D" w:rsidRPr="00A83F04">
              <w:rPr>
                <w:rFonts w:asciiTheme="minorHAnsi" w:hAnsiTheme="minorHAnsi" w:cstheme="minorHAnsi"/>
                <w:color w:val="auto"/>
                <w:sz w:val="22"/>
                <w:szCs w:val="22"/>
              </w:rPr>
              <w:t xml:space="preserve"> </w:t>
            </w:r>
            <w:r w:rsidRPr="00A83F04">
              <w:rPr>
                <w:rFonts w:asciiTheme="minorHAnsi" w:hAnsiTheme="minorHAnsi" w:cstheme="minorHAnsi"/>
                <w:color w:val="auto"/>
                <w:sz w:val="22"/>
                <w:szCs w:val="22"/>
              </w:rPr>
              <w:t>(stage 2)</w:t>
            </w:r>
            <w:r w:rsidR="00B04E39" w:rsidRPr="00A83F04">
              <w:rPr>
                <w:rFonts w:asciiTheme="minorHAnsi" w:hAnsiTheme="minorHAnsi" w:cstheme="minorHAnsi"/>
                <w:color w:val="auto"/>
                <w:sz w:val="22"/>
                <w:szCs w:val="22"/>
              </w:rPr>
              <w:t xml:space="preserve">; </w:t>
            </w:r>
          </w:p>
          <w:p w14:paraId="24357EA9" w14:textId="50FC8CE4" w:rsidR="00C2784E" w:rsidRPr="00A83F04" w:rsidRDefault="00B04E39" w:rsidP="00C336A1">
            <w:pPr>
              <w:pStyle w:val="Default"/>
              <w:ind w:left="360"/>
              <w:jc w:val="both"/>
              <w:rPr>
                <w:rFonts w:asciiTheme="minorHAnsi" w:hAnsiTheme="minorHAnsi" w:cstheme="minorHAnsi"/>
                <w:color w:val="auto"/>
                <w:sz w:val="22"/>
                <w:szCs w:val="22"/>
              </w:rPr>
            </w:pPr>
            <w:r w:rsidRPr="00A83F04">
              <w:rPr>
                <w:rFonts w:asciiTheme="minorHAnsi" w:hAnsiTheme="minorHAnsi" w:cstheme="minorHAnsi"/>
                <w:color w:val="auto"/>
                <w:sz w:val="22"/>
                <w:szCs w:val="22"/>
              </w:rPr>
              <w:t>General areas of work under this core comprise:</w:t>
            </w:r>
          </w:p>
          <w:p w14:paraId="12799FE8" w14:textId="2C5AB024" w:rsidR="00B04E39" w:rsidRPr="00A83F04" w:rsidRDefault="00B04E39" w:rsidP="00C336A1">
            <w:pPr>
              <w:pStyle w:val="Default"/>
              <w:numPr>
                <w:ilvl w:val="0"/>
                <w:numId w:val="27"/>
              </w:numPr>
              <w:jc w:val="both"/>
              <w:rPr>
                <w:rFonts w:asciiTheme="minorHAnsi" w:hAnsiTheme="minorHAnsi" w:cstheme="minorHAnsi"/>
                <w:color w:val="auto"/>
                <w:sz w:val="22"/>
                <w:szCs w:val="22"/>
              </w:rPr>
            </w:pPr>
            <w:r w:rsidRPr="00A83F04">
              <w:rPr>
                <w:rFonts w:asciiTheme="minorHAnsi" w:hAnsiTheme="minorHAnsi" w:cstheme="minorHAnsi"/>
                <w:color w:val="auto"/>
                <w:sz w:val="22"/>
                <w:szCs w:val="22"/>
              </w:rPr>
              <w:t>Survey design and development of the cognitive and non-cognitive instruments (</w:t>
            </w:r>
            <w:r w:rsidR="0082458D" w:rsidRPr="00A83F04">
              <w:rPr>
                <w:rFonts w:asciiTheme="minorHAnsi" w:hAnsiTheme="minorHAnsi" w:cstheme="minorHAnsi"/>
                <w:color w:val="auto"/>
                <w:sz w:val="22"/>
                <w:szCs w:val="22"/>
              </w:rPr>
              <w:t>including authoring thereof</w:t>
            </w:r>
            <w:r w:rsidRPr="00A83F04">
              <w:rPr>
                <w:rFonts w:asciiTheme="minorHAnsi" w:hAnsiTheme="minorHAnsi" w:cstheme="minorHAnsi"/>
                <w:color w:val="auto"/>
                <w:sz w:val="22"/>
                <w:szCs w:val="22"/>
              </w:rPr>
              <w:t>);</w:t>
            </w:r>
          </w:p>
          <w:p w14:paraId="5EF83C8E" w14:textId="2DE30B4B" w:rsidR="00B04E39" w:rsidRPr="00A83F04" w:rsidRDefault="00B04E39" w:rsidP="00C336A1">
            <w:pPr>
              <w:pStyle w:val="Default"/>
              <w:numPr>
                <w:ilvl w:val="0"/>
                <w:numId w:val="27"/>
              </w:numPr>
              <w:jc w:val="both"/>
              <w:rPr>
                <w:rFonts w:asciiTheme="minorHAnsi" w:hAnsiTheme="minorHAnsi" w:cstheme="minorHAnsi"/>
                <w:color w:val="auto"/>
                <w:sz w:val="22"/>
                <w:szCs w:val="22"/>
              </w:rPr>
            </w:pPr>
            <w:r w:rsidRPr="00A83F04">
              <w:rPr>
                <w:rFonts w:asciiTheme="minorHAnsi" w:hAnsiTheme="minorHAnsi" w:cstheme="minorHAnsi"/>
                <w:color w:val="auto"/>
                <w:sz w:val="22"/>
                <w:szCs w:val="22"/>
              </w:rPr>
              <w:t>Day-to-day project management, coordination of and liaison with contractors and countries, and survey operations, including the necessary communication processes, structures and IT infrastructure for these interactions and appropriate training, as well as optional capacity building support for countries;</w:t>
            </w:r>
          </w:p>
          <w:p w14:paraId="3348D5F0" w14:textId="1A2C3F8A" w:rsidR="00C2784E" w:rsidRPr="00A83F04" w:rsidRDefault="00B04E39" w:rsidP="00C336A1">
            <w:pPr>
              <w:pStyle w:val="Default"/>
              <w:numPr>
                <w:ilvl w:val="0"/>
                <w:numId w:val="27"/>
              </w:numPr>
              <w:jc w:val="both"/>
              <w:rPr>
                <w:rFonts w:asciiTheme="minorHAnsi" w:hAnsiTheme="minorHAnsi" w:cstheme="minorHAnsi"/>
                <w:color w:val="auto"/>
                <w:sz w:val="22"/>
                <w:szCs w:val="22"/>
              </w:rPr>
            </w:pPr>
            <w:r w:rsidRPr="00A83F04">
              <w:rPr>
                <w:rFonts w:asciiTheme="minorHAnsi" w:hAnsiTheme="minorHAnsi" w:cstheme="minorHAnsi"/>
                <w:color w:val="auto"/>
                <w:sz w:val="22"/>
                <w:szCs w:val="22"/>
              </w:rPr>
              <w:t xml:space="preserve">Implementation, translation and data collection, protection and quality control, including the development of data analysis and scaling plans, the performance of data handling, pre analysis, </w:t>
            </w:r>
            <w:r w:rsidRPr="00A83F04">
              <w:rPr>
                <w:rFonts w:asciiTheme="minorHAnsi" w:hAnsiTheme="minorHAnsi" w:cstheme="minorHAnsi"/>
                <w:color w:val="auto"/>
                <w:sz w:val="22"/>
                <w:szCs w:val="22"/>
              </w:rPr>
              <w:lastRenderedPageBreak/>
              <w:t>cleaning and scaling, as well as linguistic quality control, including translation support through source versions, translation guidelines and appropriate training, and additional support for countries regarding specific national survey or sampling designs and implementations.</w:t>
            </w:r>
          </w:p>
          <w:p w14:paraId="5F56CF4E" w14:textId="77777777" w:rsidR="00B04E39" w:rsidRPr="00A83F04" w:rsidRDefault="00B04E39" w:rsidP="00A731AB">
            <w:pPr>
              <w:pStyle w:val="Default"/>
              <w:ind w:left="1080"/>
              <w:jc w:val="both"/>
              <w:rPr>
                <w:rFonts w:asciiTheme="minorHAnsi" w:hAnsiTheme="minorHAnsi" w:cstheme="minorHAnsi"/>
                <w:color w:val="auto"/>
                <w:sz w:val="22"/>
                <w:szCs w:val="22"/>
              </w:rPr>
            </w:pPr>
          </w:p>
          <w:p w14:paraId="5EB3524D" w14:textId="77777777" w:rsidR="00E51B6A" w:rsidRPr="00C336A1" w:rsidRDefault="00C2784E" w:rsidP="00A731AB">
            <w:pPr>
              <w:pStyle w:val="Default"/>
              <w:numPr>
                <w:ilvl w:val="0"/>
                <w:numId w:val="21"/>
              </w:numPr>
              <w:jc w:val="both"/>
              <w:rPr>
                <w:rFonts w:asciiTheme="minorHAnsi" w:hAnsiTheme="minorHAnsi" w:cstheme="minorHAnsi"/>
                <w:color w:val="auto"/>
                <w:sz w:val="22"/>
                <w:szCs w:val="22"/>
              </w:rPr>
            </w:pPr>
            <w:r w:rsidRPr="00A83F04">
              <w:rPr>
                <w:rFonts w:asciiTheme="minorHAnsi" w:hAnsiTheme="minorHAnsi" w:cstheme="minorHAnsi"/>
                <w:b/>
                <w:color w:val="auto"/>
                <w:sz w:val="22"/>
                <w:szCs w:val="22"/>
              </w:rPr>
              <w:t>Core 1B:</w:t>
            </w:r>
            <w:r w:rsidRPr="00A83F04">
              <w:rPr>
                <w:rFonts w:asciiTheme="minorHAnsi" w:hAnsiTheme="minorHAnsi" w:cstheme="minorHAnsi"/>
                <w:color w:val="auto"/>
                <w:sz w:val="22"/>
                <w:szCs w:val="22"/>
              </w:rPr>
              <w:t xml:space="preserve"> Platform </w:t>
            </w:r>
            <w:r w:rsidR="0082458D" w:rsidRPr="00A83F04">
              <w:rPr>
                <w:rFonts w:asciiTheme="minorHAnsi" w:hAnsiTheme="minorHAnsi" w:cstheme="minorHAnsi"/>
                <w:color w:val="auto"/>
                <w:sz w:val="22"/>
                <w:szCs w:val="22"/>
              </w:rPr>
              <w:t>for a</w:t>
            </w:r>
            <w:r w:rsidR="002B1BBB" w:rsidRPr="00A83F04">
              <w:rPr>
                <w:rFonts w:asciiTheme="minorHAnsi" w:hAnsiTheme="minorHAnsi" w:cstheme="minorHAnsi"/>
                <w:color w:val="auto"/>
                <w:sz w:val="22"/>
                <w:szCs w:val="22"/>
              </w:rPr>
              <w:t xml:space="preserve">uthoring and </w:t>
            </w:r>
            <w:r w:rsidR="0082458D" w:rsidRPr="00A83F04">
              <w:rPr>
                <w:rFonts w:asciiTheme="minorHAnsi" w:hAnsiTheme="minorHAnsi" w:cstheme="minorHAnsi"/>
                <w:color w:val="auto"/>
                <w:sz w:val="22"/>
                <w:szCs w:val="22"/>
              </w:rPr>
              <w:t>d</w:t>
            </w:r>
            <w:r w:rsidR="002B1BBB" w:rsidRPr="00A83F04">
              <w:rPr>
                <w:rFonts w:asciiTheme="minorHAnsi" w:hAnsiTheme="minorHAnsi" w:cstheme="minorHAnsi"/>
                <w:color w:val="auto"/>
                <w:sz w:val="22"/>
                <w:szCs w:val="22"/>
              </w:rPr>
              <w:t xml:space="preserve">elivery </w:t>
            </w:r>
            <w:r w:rsidRPr="00C336A1">
              <w:rPr>
                <w:rFonts w:asciiTheme="minorHAnsi" w:hAnsiTheme="minorHAnsi" w:cstheme="minorHAnsi"/>
                <w:color w:val="auto"/>
                <w:sz w:val="22"/>
                <w:szCs w:val="22"/>
              </w:rPr>
              <w:t>(stage 2)</w:t>
            </w:r>
            <w:r w:rsidR="00B04E39" w:rsidRPr="00C336A1">
              <w:rPr>
                <w:rFonts w:asciiTheme="minorHAnsi" w:hAnsiTheme="minorHAnsi" w:cstheme="minorHAnsi"/>
                <w:color w:val="auto"/>
                <w:sz w:val="22"/>
                <w:szCs w:val="22"/>
              </w:rPr>
              <w:t xml:space="preserve">; </w:t>
            </w:r>
          </w:p>
          <w:p w14:paraId="0C44290A" w14:textId="61965121" w:rsidR="00C2784E" w:rsidRPr="00C336A1" w:rsidRDefault="00B04E39" w:rsidP="00C336A1">
            <w:pPr>
              <w:pStyle w:val="Default"/>
              <w:ind w:left="360"/>
              <w:jc w:val="both"/>
              <w:rPr>
                <w:rFonts w:asciiTheme="minorHAnsi" w:hAnsiTheme="minorHAnsi" w:cstheme="minorHAnsi"/>
                <w:color w:val="auto"/>
                <w:sz w:val="22"/>
                <w:szCs w:val="22"/>
              </w:rPr>
            </w:pPr>
            <w:r w:rsidRPr="00C336A1">
              <w:rPr>
                <w:rFonts w:asciiTheme="minorHAnsi" w:hAnsiTheme="minorHAnsi" w:cstheme="minorHAnsi"/>
                <w:color w:val="auto"/>
                <w:sz w:val="22"/>
                <w:szCs w:val="22"/>
              </w:rPr>
              <w:t>General areas of work under this core comprise:</w:t>
            </w:r>
          </w:p>
          <w:p w14:paraId="055612D3" w14:textId="52DCDCDD" w:rsidR="00B04E39" w:rsidRPr="00C336A1" w:rsidRDefault="00B04E39" w:rsidP="00A731AB">
            <w:pPr>
              <w:pStyle w:val="Default"/>
              <w:numPr>
                <w:ilvl w:val="0"/>
                <w:numId w:val="28"/>
              </w:numPr>
              <w:jc w:val="both"/>
              <w:rPr>
                <w:rFonts w:asciiTheme="minorHAnsi" w:hAnsiTheme="minorHAnsi" w:cstheme="minorHAnsi"/>
                <w:color w:val="auto"/>
                <w:sz w:val="22"/>
                <w:szCs w:val="22"/>
              </w:rPr>
            </w:pPr>
            <w:r w:rsidRPr="00C336A1">
              <w:rPr>
                <w:rFonts w:asciiTheme="minorHAnsi" w:hAnsiTheme="minorHAnsi" w:cstheme="minorHAnsi"/>
                <w:color w:val="auto"/>
                <w:sz w:val="22"/>
                <w:szCs w:val="22"/>
              </w:rPr>
              <w:t>Provide authoring and delivery platform and ensure integration into remaining PISA communications infrastructure, including the integration of translation and adaptation workflows, as well as ensure compliance to national data protection requirements;</w:t>
            </w:r>
          </w:p>
          <w:p w14:paraId="521CE977" w14:textId="46A6AC70" w:rsidR="00B04E39" w:rsidRPr="00C336A1" w:rsidRDefault="00B04E39" w:rsidP="00A731AB">
            <w:pPr>
              <w:pStyle w:val="Default"/>
              <w:numPr>
                <w:ilvl w:val="0"/>
                <w:numId w:val="28"/>
              </w:numPr>
              <w:jc w:val="both"/>
              <w:rPr>
                <w:rFonts w:asciiTheme="minorHAnsi" w:hAnsiTheme="minorHAnsi" w:cstheme="minorHAnsi"/>
                <w:color w:val="auto"/>
                <w:sz w:val="22"/>
                <w:szCs w:val="22"/>
              </w:rPr>
            </w:pPr>
            <w:r w:rsidRPr="00C336A1">
              <w:rPr>
                <w:rFonts w:asciiTheme="minorHAnsi" w:hAnsiTheme="minorHAnsi" w:cstheme="minorHAnsi"/>
                <w:color w:val="auto"/>
                <w:sz w:val="22"/>
                <w:szCs w:val="22"/>
              </w:rPr>
              <w:t>Adapt, if necessary, and migrate existing cognitive and non-cognitive item banks to new system, document existing material and ensure reverse-compatibility and conformity to interoperability standards (e.g. QTI);</w:t>
            </w:r>
          </w:p>
          <w:p w14:paraId="3A3558A4" w14:textId="388DD53B" w:rsidR="00B04E39" w:rsidRPr="00C336A1" w:rsidRDefault="00B04E39" w:rsidP="00A731AB">
            <w:pPr>
              <w:pStyle w:val="Default"/>
              <w:numPr>
                <w:ilvl w:val="0"/>
                <w:numId w:val="28"/>
              </w:numPr>
              <w:jc w:val="both"/>
              <w:rPr>
                <w:rFonts w:asciiTheme="minorHAnsi" w:hAnsiTheme="minorHAnsi" w:cstheme="minorHAnsi"/>
                <w:color w:val="auto"/>
                <w:sz w:val="22"/>
                <w:szCs w:val="22"/>
              </w:rPr>
            </w:pPr>
            <w:r w:rsidRPr="00C336A1">
              <w:rPr>
                <w:rFonts w:asciiTheme="minorHAnsi" w:hAnsiTheme="minorHAnsi" w:cstheme="minorHAnsi"/>
                <w:color w:val="auto"/>
                <w:sz w:val="22"/>
                <w:szCs w:val="22"/>
              </w:rPr>
              <w:t>Generate new cognitive and non-cognitive items from storyboards and concepts developed by Core 1 contractor, countries and the OECD Secretariat, optionally programming the items for Learning in a digital world should this not be performed by external partners, ensure compatibility and interoperability, document in detail for future use;</w:t>
            </w:r>
          </w:p>
          <w:p w14:paraId="2B966053" w14:textId="7ECCC4D4" w:rsidR="00B04E39" w:rsidRPr="00C336A1" w:rsidRDefault="00B04E39" w:rsidP="00A731AB">
            <w:pPr>
              <w:pStyle w:val="Default"/>
              <w:numPr>
                <w:ilvl w:val="0"/>
                <w:numId w:val="28"/>
              </w:numPr>
              <w:jc w:val="both"/>
              <w:rPr>
                <w:rFonts w:asciiTheme="minorHAnsi" w:hAnsiTheme="minorHAnsi" w:cstheme="minorHAnsi"/>
                <w:color w:val="auto"/>
                <w:sz w:val="22"/>
                <w:szCs w:val="22"/>
              </w:rPr>
            </w:pPr>
            <w:r w:rsidRPr="00C336A1">
              <w:rPr>
                <w:rFonts w:asciiTheme="minorHAnsi" w:hAnsiTheme="minorHAnsi" w:cstheme="minorHAnsi"/>
                <w:color w:val="auto"/>
                <w:sz w:val="22"/>
                <w:szCs w:val="22"/>
              </w:rPr>
              <w:t>Generate training material related to usage of authoring and delivery system and provide training thereon to NPMs;</w:t>
            </w:r>
          </w:p>
          <w:p w14:paraId="3BA005E0" w14:textId="72545133" w:rsidR="00B04E39" w:rsidRPr="00C336A1" w:rsidRDefault="00B04E39" w:rsidP="00A731AB">
            <w:pPr>
              <w:pStyle w:val="Default"/>
              <w:numPr>
                <w:ilvl w:val="0"/>
                <w:numId w:val="28"/>
              </w:numPr>
              <w:jc w:val="both"/>
              <w:rPr>
                <w:rFonts w:asciiTheme="minorHAnsi" w:hAnsiTheme="minorHAnsi" w:cstheme="minorHAnsi"/>
                <w:color w:val="auto"/>
                <w:sz w:val="22"/>
                <w:szCs w:val="22"/>
              </w:rPr>
            </w:pPr>
            <w:r w:rsidRPr="00C336A1">
              <w:rPr>
                <w:rFonts w:asciiTheme="minorHAnsi" w:hAnsiTheme="minorHAnsi" w:cstheme="minorHAnsi"/>
                <w:color w:val="auto"/>
                <w:sz w:val="22"/>
                <w:szCs w:val="22"/>
              </w:rPr>
              <w:t>Generate, test and deliver test in national versions and deliver technological infrastructure for data collection, including scoring of closed-ended items. Open-ended items will be delivered to the Core 1 contractor for national coding of open-ended items.</w:t>
            </w:r>
          </w:p>
          <w:p w14:paraId="75F3A047" w14:textId="77777777" w:rsidR="00C2784E" w:rsidRPr="00C336A1" w:rsidRDefault="00C2784E" w:rsidP="00A731AB">
            <w:pPr>
              <w:pStyle w:val="Default"/>
              <w:ind w:left="1080"/>
              <w:jc w:val="both"/>
              <w:rPr>
                <w:rFonts w:asciiTheme="minorHAnsi" w:hAnsiTheme="minorHAnsi" w:cstheme="minorHAnsi"/>
                <w:color w:val="auto"/>
                <w:sz w:val="22"/>
                <w:szCs w:val="22"/>
              </w:rPr>
            </w:pPr>
          </w:p>
          <w:p w14:paraId="12A53D60" w14:textId="0EC59C40" w:rsidR="00E51B6A" w:rsidRPr="00C336A1" w:rsidRDefault="00C2784E" w:rsidP="00A731AB">
            <w:pPr>
              <w:pStyle w:val="Default"/>
              <w:numPr>
                <w:ilvl w:val="0"/>
                <w:numId w:val="21"/>
              </w:numPr>
              <w:jc w:val="both"/>
              <w:rPr>
                <w:rFonts w:asciiTheme="minorHAnsi" w:hAnsiTheme="minorHAnsi" w:cstheme="minorHAnsi"/>
                <w:color w:val="auto"/>
                <w:sz w:val="22"/>
                <w:szCs w:val="22"/>
              </w:rPr>
            </w:pPr>
            <w:r w:rsidRPr="00C336A1">
              <w:rPr>
                <w:rFonts w:asciiTheme="minorHAnsi" w:hAnsiTheme="minorHAnsi" w:cstheme="minorHAnsi"/>
                <w:b/>
                <w:color w:val="auto"/>
                <w:sz w:val="22"/>
                <w:szCs w:val="22"/>
              </w:rPr>
              <w:t>Core 2:</w:t>
            </w:r>
            <w:r w:rsidRPr="00C336A1">
              <w:rPr>
                <w:rFonts w:asciiTheme="minorHAnsi" w:hAnsiTheme="minorHAnsi" w:cstheme="minorHAnsi"/>
                <w:color w:val="auto"/>
                <w:sz w:val="22"/>
                <w:szCs w:val="22"/>
              </w:rPr>
              <w:t xml:space="preserve"> </w:t>
            </w:r>
            <w:r w:rsidR="002B1BBB" w:rsidRPr="00C336A1">
              <w:rPr>
                <w:rFonts w:asciiTheme="minorHAnsi" w:hAnsiTheme="minorHAnsi" w:cstheme="minorHAnsi"/>
                <w:color w:val="auto"/>
                <w:sz w:val="22"/>
                <w:szCs w:val="22"/>
              </w:rPr>
              <w:t>Science f</w:t>
            </w:r>
            <w:r w:rsidR="00FD662D" w:rsidRPr="00C336A1">
              <w:rPr>
                <w:rFonts w:asciiTheme="minorHAnsi" w:hAnsiTheme="minorHAnsi" w:cstheme="minorHAnsi"/>
                <w:color w:val="auto"/>
                <w:sz w:val="22"/>
                <w:szCs w:val="22"/>
              </w:rPr>
              <w:t xml:space="preserve">ramework </w:t>
            </w:r>
            <w:r w:rsidR="002B1BBB" w:rsidRPr="00C336A1">
              <w:rPr>
                <w:rFonts w:asciiTheme="minorHAnsi" w:hAnsiTheme="minorHAnsi" w:cstheme="minorHAnsi"/>
                <w:color w:val="auto"/>
                <w:sz w:val="22"/>
                <w:szCs w:val="22"/>
              </w:rPr>
              <w:t>d</w:t>
            </w:r>
            <w:r w:rsidR="00FD662D" w:rsidRPr="00C336A1">
              <w:rPr>
                <w:rFonts w:asciiTheme="minorHAnsi" w:hAnsiTheme="minorHAnsi" w:cstheme="minorHAnsi"/>
                <w:color w:val="auto"/>
                <w:sz w:val="22"/>
                <w:szCs w:val="22"/>
              </w:rPr>
              <w:t>evelopment (stage 1)</w:t>
            </w:r>
            <w:r w:rsidR="00B04E39" w:rsidRPr="00C336A1">
              <w:rPr>
                <w:rFonts w:asciiTheme="minorHAnsi" w:hAnsiTheme="minorHAnsi" w:cstheme="minorHAnsi"/>
                <w:color w:val="auto"/>
                <w:sz w:val="22"/>
                <w:szCs w:val="22"/>
              </w:rPr>
              <w:t xml:space="preserve">; </w:t>
            </w:r>
          </w:p>
          <w:p w14:paraId="6E95A447" w14:textId="1819036D" w:rsidR="00FD662D" w:rsidRPr="00C336A1" w:rsidRDefault="00B04E39" w:rsidP="00C336A1">
            <w:pPr>
              <w:pStyle w:val="Default"/>
              <w:ind w:left="360"/>
              <w:jc w:val="both"/>
              <w:rPr>
                <w:rFonts w:asciiTheme="minorHAnsi" w:hAnsiTheme="minorHAnsi" w:cstheme="minorHAnsi"/>
                <w:color w:val="auto"/>
                <w:sz w:val="22"/>
                <w:szCs w:val="22"/>
              </w:rPr>
            </w:pPr>
            <w:r w:rsidRPr="00C336A1">
              <w:rPr>
                <w:rFonts w:asciiTheme="minorHAnsi" w:hAnsiTheme="minorHAnsi" w:cstheme="minorHAnsi"/>
                <w:color w:val="auto"/>
                <w:sz w:val="22"/>
                <w:szCs w:val="22"/>
              </w:rPr>
              <w:t>General areas of work under this core comprise:</w:t>
            </w:r>
          </w:p>
          <w:p w14:paraId="158F2326" w14:textId="05A33873" w:rsidR="00D952A0" w:rsidRPr="00C336A1" w:rsidRDefault="00D952A0" w:rsidP="00C336A1">
            <w:pPr>
              <w:pStyle w:val="Default"/>
              <w:numPr>
                <w:ilvl w:val="0"/>
                <w:numId w:val="31"/>
              </w:numPr>
              <w:jc w:val="both"/>
              <w:rPr>
                <w:rFonts w:asciiTheme="minorHAnsi" w:hAnsiTheme="minorHAnsi" w:cstheme="minorHAnsi"/>
                <w:color w:val="auto"/>
                <w:sz w:val="22"/>
                <w:szCs w:val="22"/>
              </w:rPr>
            </w:pPr>
            <w:r w:rsidRPr="00C336A1">
              <w:rPr>
                <w:rFonts w:asciiTheme="minorHAnsi" w:hAnsiTheme="minorHAnsi" w:cstheme="minorHAnsi"/>
                <w:color w:val="auto"/>
                <w:sz w:val="22"/>
                <w:szCs w:val="22"/>
              </w:rPr>
              <w:t>Conduct stakeholder consultation to inform on the overall directions for the framework;</w:t>
            </w:r>
          </w:p>
          <w:p w14:paraId="2F4438D4" w14:textId="1A93A2C0" w:rsidR="00D952A0" w:rsidRPr="00C336A1" w:rsidRDefault="00D952A0" w:rsidP="00C336A1">
            <w:pPr>
              <w:pStyle w:val="Default"/>
              <w:numPr>
                <w:ilvl w:val="0"/>
                <w:numId w:val="31"/>
              </w:numPr>
              <w:jc w:val="both"/>
              <w:rPr>
                <w:rFonts w:asciiTheme="minorHAnsi" w:hAnsiTheme="minorHAnsi" w:cstheme="minorHAnsi"/>
                <w:color w:val="auto"/>
                <w:sz w:val="22"/>
                <w:szCs w:val="22"/>
              </w:rPr>
            </w:pPr>
            <w:r w:rsidRPr="00C336A1">
              <w:rPr>
                <w:rFonts w:asciiTheme="minorHAnsi" w:hAnsiTheme="minorHAnsi" w:cstheme="minorHAnsi"/>
                <w:color w:val="auto"/>
                <w:sz w:val="22"/>
                <w:szCs w:val="22"/>
              </w:rPr>
              <w:t>Revise and update the science framework;</w:t>
            </w:r>
          </w:p>
          <w:p w14:paraId="6B9C8458" w14:textId="4FEFAEBA" w:rsidR="00D952A0" w:rsidRPr="00C336A1" w:rsidRDefault="00D952A0" w:rsidP="00C336A1">
            <w:pPr>
              <w:pStyle w:val="Default"/>
              <w:numPr>
                <w:ilvl w:val="0"/>
                <w:numId w:val="31"/>
              </w:numPr>
              <w:jc w:val="both"/>
              <w:rPr>
                <w:rFonts w:asciiTheme="minorHAnsi" w:hAnsiTheme="minorHAnsi" w:cstheme="minorHAnsi"/>
                <w:color w:val="auto"/>
                <w:sz w:val="22"/>
                <w:szCs w:val="22"/>
              </w:rPr>
            </w:pPr>
            <w:r w:rsidRPr="00C336A1">
              <w:rPr>
                <w:rFonts w:asciiTheme="minorHAnsi" w:hAnsiTheme="minorHAnsi" w:cstheme="minorHAnsi"/>
                <w:color w:val="auto"/>
                <w:sz w:val="22"/>
                <w:szCs w:val="22"/>
              </w:rPr>
              <w:t>Develop sample items.</w:t>
            </w:r>
          </w:p>
          <w:p w14:paraId="390EEF8F" w14:textId="77777777" w:rsidR="002B1BBB" w:rsidRPr="00C336A1" w:rsidRDefault="002B1BBB" w:rsidP="00A731AB">
            <w:pPr>
              <w:pStyle w:val="Default"/>
              <w:ind w:left="1444"/>
              <w:jc w:val="both"/>
              <w:rPr>
                <w:rFonts w:asciiTheme="minorHAnsi" w:hAnsiTheme="minorHAnsi" w:cstheme="minorHAnsi"/>
                <w:color w:val="auto"/>
                <w:sz w:val="22"/>
                <w:szCs w:val="22"/>
              </w:rPr>
            </w:pPr>
          </w:p>
          <w:p w14:paraId="02B589C5" w14:textId="77777777" w:rsidR="00E51B6A" w:rsidRPr="00C336A1" w:rsidRDefault="00C2784E" w:rsidP="00A731AB">
            <w:pPr>
              <w:pStyle w:val="Default"/>
              <w:numPr>
                <w:ilvl w:val="0"/>
                <w:numId w:val="21"/>
              </w:numPr>
              <w:jc w:val="both"/>
              <w:rPr>
                <w:rFonts w:asciiTheme="minorHAnsi" w:hAnsiTheme="minorHAnsi" w:cstheme="minorHAnsi"/>
                <w:color w:val="auto"/>
                <w:sz w:val="22"/>
                <w:szCs w:val="22"/>
              </w:rPr>
            </w:pPr>
            <w:r w:rsidRPr="00C336A1">
              <w:rPr>
                <w:rFonts w:asciiTheme="minorHAnsi" w:hAnsiTheme="minorHAnsi" w:cstheme="minorHAnsi"/>
                <w:b/>
                <w:color w:val="auto"/>
                <w:sz w:val="22"/>
                <w:szCs w:val="22"/>
              </w:rPr>
              <w:t>Core 3:</w:t>
            </w:r>
            <w:r w:rsidRPr="00C336A1">
              <w:rPr>
                <w:rFonts w:asciiTheme="minorHAnsi" w:hAnsiTheme="minorHAnsi" w:cstheme="minorHAnsi"/>
                <w:color w:val="auto"/>
                <w:sz w:val="22"/>
                <w:szCs w:val="22"/>
              </w:rPr>
              <w:t xml:space="preserve"> </w:t>
            </w:r>
            <w:r w:rsidR="0042256A" w:rsidRPr="00C336A1">
              <w:rPr>
                <w:rFonts w:asciiTheme="minorHAnsi" w:hAnsiTheme="minorHAnsi" w:cstheme="minorHAnsi"/>
                <w:color w:val="auto"/>
                <w:sz w:val="22"/>
                <w:szCs w:val="22"/>
              </w:rPr>
              <w:t>Sampling (stage 2)</w:t>
            </w:r>
            <w:r w:rsidR="00B04E39" w:rsidRPr="00C336A1">
              <w:rPr>
                <w:rFonts w:asciiTheme="minorHAnsi" w:hAnsiTheme="minorHAnsi" w:cstheme="minorHAnsi"/>
                <w:color w:val="auto"/>
                <w:sz w:val="22"/>
                <w:szCs w:val="22"/>
              </w:rPr>
              <w:t xml:space="preserve">; </w:t>
            </w:r>
          </w:p>
          <w:p w14:paraId="7F602DCA" w14:textId="24BD06AB" w:rsidR="0042256A" w:rsidRPr="00C336A1" w:rsidRDefault="00B04E39" w:rsidP="00C336A1">
            <w:pPr>
              <w:pStyle w:val="Default"/>
              <w:ind w:left="360"/>
              <w:jc w:val="both"/>
              <w:rPr>
                <w:rFonts w:asciiTheme="minorHAnsi" w:hAnsiTheme="minorHAnsi" w:cstheme="minorHAnsi"/>
                <w:color w:val="auto"/>
                <w:sz w:val="22"/>
                <w:szCs w:val="22"/>
              </w:rPr>
            </w:pPr>
            <w:r w:rsidRPr="00C336A1">
              <w:rPr>
                <w:rFonts w:asciiTheme="minorHAnsi" w:hAnsiTheme="minorHAnsi" w:cstheme="minorHAnsi"/>
                <w:color w:val="auto"/>
                <w:sz w:val="22"/>
                <w:szCs w:val="22"/>
              </w:rPr>
              <w:t>General areas of work under this core comprise:</w:t>
            </w:r>
          </w:p>
          <w:p w14:paraId="6D4535FD" w14:textId="63790A22" w:rsidR="00D952A0" w:rsidRPr="00C336A1" w:rsidRDefault="00D952A0" w:rsidP="00C336A1">
            <w:pPr>
              <w:pStyle w:val="Default"/>
              <w:numPr>
                <w:ilvl w:val="0"/>
                <w:numId w:val="30"/>
              </w:numPr>
              <w:ind w:left="724"/>
              <w:jc w:val="both"/>
              <w:rPr>
                <w:rFonts w:asciiTheme="minorHAnsi" w:hAnsiTheme="minorHAnsi" w:cstheme="minorHAnsi"/>
                <w:color w:val="auto"/>
                <w:sz w:val="22"/>
                <w:szCs w:val="22"/>
              </w:rPr>
            </w:pPr>
            <w:r w:rsidRPr="00C336A1">
              <w:rPr>
                <w:rFonts w:asciiTheme="minorHAnsi" w:hAnsiTheme="minorHAnsi" w:cstheme="minorHAnsi"/>
                <w:color w:val="auto"/>
                <w:sz w:val="22"/>
                <w:szCs w:val="22"/>
              </w:rPr>
              <w:t>Development of sampling standards;</w:t>
            </w:r>
          </w:p>
          <w:p w14:paraId="13352545" w14:textId="20972C37" w:rsidR="00D952A0" w:rsidRPr="00C336A1" w:rsidRDefault="00D952A0" w:rsidP="00C336A1">
            <w:pPr>
              <w:pStyle w:val="Default"/>
              <w:numPr>
                <w:ilvl w:val="0"/>
                <w:numId w:val="30"/>
              </w:numPr>
              <w:ind w:left="724"/>
              <w:jc w:val="both"/>
              <w:rPr>
                <w:rFonts w:asciiTheme="minorHAnsi" w:hAnsiTheme="minorHAnsi" w:cstheme="minorHAnsi"/>
                <w:color w:val="auto"/>
                <w:sz w:val="22"/>
                <w:szCs w:val="22"/>
              </w:rPr>
            </w:pPr>
            <w:r w:rsidRPr="00C336A1">
              <w:rPr>
                <w:rFonts w:asciiTheme="minorHAnsi" w:hAnsiTheme="minorHAnsi" w:cstheme="minorHAnsi"/>
                <w:color w:val="auto"/>
                <w:sz w:val="22"/>
                <w:szCs w:val="22"/>
              </w:rPr>
              <w:t>Calculation of sampling weights;</w:t>
            </w:r>
          </w:p>
          <w:p w14:paraId="56D61886" w14:textId="04530997" w:rsidR="00C2784E" w:rsidRPr="00C336A1" w:rsidRDefault="00D952A0" w:rsidP="00C336A1">
            <w:pPr>
              <w:pStyle w:val="Default"/>
              <w:numPr>
                <w:ilvl w:val="0"/>
                <w:numId w:val="30"/>
              </w:numPr>
              <w:ind w:left="724"/>
              <w:jc w:val="both"/>
              <w:rPr>
                <w:rFonts w:asciiTheme="minorHAnsi" w:hAnsiTheme="minorHAnsi" w:cstheme="minorHAnsi"/>
                <w:color w:val="auto"/>
                <w:sz w:val="22"/>
                <w:szCs w:val="22"/>
              </w:rPr>
            </w:pPr>
            <w:r w:rsidRPr="00C336A1">
              <w:rPr>
                <w:rFonts w:asciiTheme="minorHAnsi" w:hAnsiTheme="minorHAnsi" w:cstheme="minorHAnsi"/>
                <w:color w:val="auto"/>
                <w:sz w:val="22"/>
                <w:szCs w:val="22"/>
              </w:rPr>
              <w:t>Generation of sampling plans and negotiation with countries of samples and country support in regards to sampling and national oversampling strategies.</w:t>
            </w:r>
          </w:p>
          <w:p w14:paraId="42A3BD61" w14:textId="2CBEFB0A" w:rsidR="00C2784E" w:rsidRPr="00C336A1" w:rsidRDefault="00C2784E" w:rsidP="00A731AB">
            <w:pPr>
              <w:pStyle w:val="Default"/>
              <w:ind w:left="1080"/>
              <w:jc w:val="both"/>
              <w:rPr>
                <w:rFonts w:asciiTheme="minorHAnsi" w:hAnsiTheme="minorHAnsi" w:cstheme="minorHAnsi"/>
                <w:color w:val="auto"/>
                <w:sz w:val="22"/>
                <w:szCs w:val="22"/>
              </w:rPr>
            </w:pPr>
          </w:p>
          <w:p w14:paraId="7704BE62" w14:textId="77777777" w:rsidR="00A83F04" w:rsidRPr="00C336A1" w:rsidRDefault="00C2784E" w:rsidP="00A731AB">
            <w:pPr>
              <w:pStyle w:val="Default"/>
              <w:numPr>
                <w:ilvl w:val="0"/>
                <w:numId w:val="21"/>
              </w:numPr>
              <w:jc w:val="both"/>
              <w:rPr>
                <w:rFonts w:asciiTheme="minorHAnsi" w:hAnsiTheme="minorHAnsi" w:cstheme="minorHAnsi"/>
                <w:color w:val="auto"/>
                <w:sz w:val="22"/>
                <w:szCs w:val="22"/>
              </w:rPr>
            </w:pPr>
            <w:r w:rsidRPr="00C336A1">
              <w:rPr>
                <w:rFonts w:asciiTheme="minorHAnsi" w:hAnsiTheme="minorHAnsi" w:cstheme="minorHAnsi"/>
                <w:b/>
                <w:color w:val="auto"/>
                <w:sz w:val="22"/>
                <w:szCs w:val="22"/>
              </w:rPr>
              <w:t>Core 4:</w:t>
            </w:r>
            <w:r w:rsidRPr="00C336A1">
              <w:rPr>
                <w:rFonts w:asciiTheme="minorHAnsi" w:hAnsiTheme="minorHAnsi" w:cstheme="minorHAnsi"/>
                <w:color w:val="auto"/>
                <w:sz w:val="22"/>
                <w:szCs w:val="22"/>
              </w:rPr>
              <w:t xml:space="preserve"> </w:t>
            </w:r>
            <w:r w:rsidR="00FD662D" w:rsidRPr="00C336A1">
              <w:rPr>
                <w:rFonts w:asciiTheme="minorHAnsi" w:hAnsiTheme="minorHAnsi" w:cstheme="minorHAnsi"/>
                <w:color w:val="auto"/>
                <w:sz w:val="22"/>
                <w:szCs w:val="22"/>
              </w:rPr>
              <w:t xml:space="preserve">Instrument </w:t>
            </w:r>
            <w:r w:rsidR="0082458D" w:rsidRPr="00C336A1">
              <w:rPr>
                <w:rFonts w:asciiTheme="minorHAnsi" w:hAnsiTheme="minorHAnsi" w:cstheme="minorHAnsi"/>
                <w:color w:val="auto"/>
                <w:sz w:val="22"/>
                <w:szCs w:val="22"/>
              </w:rPr>
              <w:t>d</w:t>
            </w:r>
            <w:r w:rsidR="00FD662D" w:rsidRPr="00C336A1">
              <w:rPr>
                <w:rFonts w:asciiTheme="minorHAnsi" w:hAnsiTheme="minorHAnsi" w:cstheme="minorHAnsi"/>
                <w:color w:val="auto"/>
                <w:sz w:val="22"/>
                <w:szCs w:val="22"/>
              </w:rPr>
              <w:t>evelopment for Learning in a Digital World</w:t>
            </w:r>
            <w:r w:rsidR="0082458D" w:rsidRPr="00C336A1">
              <w:rPr>
                <w:rFonts w:asciiTheme="minorHAnsi" w:hAnsiTheme="minorHAnsi" w:cstheme="minorHAnsi"/>
                <w:color w:val="auto"/>
                <w:sz w:val="22"/>
                <w:szCs w:val="22"/>
              </w:rPr>
              <w:t xml:space="preserve"> assessment</w:t>
            </w:r>
            <w:r w:rsidR="00FD662D" w:rsidRPr="00C336A1">
              <w:rPr>
                <w:rFonts w:asciiTheme="minorHAnsi" w:hAnsiTheme="minorHAnsi" w:cstheme="minorHAnsi"/>
                <w:color w:val="auto"/>
                <w:sz w:val="22"/>
                <w:szCs w:val="22"/>
              </w:rPr>
              <w:t xml:space="preserve"> (stage 3)</w:t>
            </w:r>
            <w:r w:rsidR="00B04E39" w:rsidRPr="00C336A1">
              <w:rPr>
                <w:rFonts w:asciiTheme="minorHAnsi" w:hAnsiTheme="minorHAnsi" w:cstheme="minorHAnsi"/>
                <w:color w:val="auto"/>
                <w:sz w:val="22"/>
                <w:szCs w:val="22"/>
              </w:rPr>
              <w:t xml:space="preserve">; </w:t>
            </w:r>
          </w:p>
          <w:p w14:paraId="52FE8723" w14:textId="33CA6801" w:rsidR="00C2784E" w:rsidRPr="00C336A1" w:rsidRDefault="002B1BBB" w:rsidP="00C336A1">
            <w:pPr>
              <w:pStyle w:val="Default"/>
              <w:ind w:left="360"/>
              <w:jc w:val="both"/>
              <w:rPr>
                <w:rFonts w:asciiTheme="minorHAnsi" w:hAnsiTheme="minorHAnsi" w:cstheme="minorHAnsi"/>
                <w:color w:val="auto"/>
                <w:sz w:val="22"/>
                <w:szCs w:val="22"/>
              </w:rPr>
            </w:pPr>
            <w:r w:rsidRPr="00C336A1">
              <w:rPr>
                <w:rFonts w:asciiTheme="minorHAnsi" w:hAnsiTheme="minorHAnsi" w:cstheme="minorHAnsi"/>
                <w:color w:val="auto"/>
                <w:sz w:val="22"/>
                <w:szCs w:val="22"/>
              </w:rPr>
              <w:t>W</w:t>
            </w:r>
            <w:r w:rsidR="00D952A0" w:rsidRPr="00C336A1">
              <w:rPr>
                <w:rFonts w:asciiTheme="minorHAnsi" w:hAnsiTheme="minorHAnsi" w:cstheme="minorHAnsi"/>
                <w:color w:val="auto"/>
                <w:sz w:val="22"/>
                <w:szCs w:val="22"/>
              </w:rPr>
              <w:t xml:space="preserve">ork under this core comprise the instrument development for the </w:t>
            </w:r>
            <w:r w:rsidR="0082458D" w:rsidRPr="00C336A1">
              <w:rPr>
                <w:rFonts w:asciiTheme="minorHAnsi" w:hAnsiTheme="minorHAnsi" w:cstheme="minorHAnsi"/>
                <w:color w:val="auto"/>
                <w:sz w:val="22"/>
                <w:szCs w:val="22"/>
              </w:rPr>
              <w:t xml:space="preserve">PISA 2024 innovative domain </w:t>
            </w:r>
            <w:r w:rsidR="00D952A0" w:rsidRPr="00C336A1">
              <w:rPr>
                <w:rFonts w:asciiTheme="minorHAnsi" w:hAnsiTheme="minorHAnsi" w:cstheme="minorHAnsi"/>
                <w:color w:val="auto"/>
                <w:sz w:val="22"/>
                <w:szCs w:val="22"/>
              </w:rPr>
              <w:t>following further and more detailed specifications by the Subject Matter Expert Group in September 2019.</w:t>
            </w:r>
          </w:p>
          <w:p w14:paraId="51FCE951" w14:textId="77777777" w:rsidR="0082458D" w:rsidRPr="00C336A1" w:rsidRDefault="0082458D" w:rsidP="00B00C5E">
            <w:pPr>
              <w:pStyle w:val="Default"/>
              <w:jc w:val="both"/>
              <w:rPr>
                <w:rFonts w:asciiTheme="minorHAnsi" w:hAnsiTheme="minorHAnsi" w:cstheme="minorHAnsi"/>
                <w:sz w:val="22"/>
                <w:szCs w:val="22"/>
              </w:rPr>
            </w:pPr>
          </w:p>
          <w:p w14:paraId="520008F4" w14:textId="7454F814" w:rsidR="00D952A0" w:rsidRPr="00C336A1" w:rsidRDefault="00FD662D" w:rsidP="00B00C5E">
            <w:pPr>
              <w:pStyle w:val="Default"/>
              <w:jc w:val="both"/>
              <w:rPr>
                <w:rFonts w:asciiTheme="minorHAnsi" w:hAnsiTheme="minorHAnsi" w:cstheme="minorHAnsi"/>
                <w:sz w:val="22"/>
                <w:szCs w:val="22"/>
              </w:rPr>
            </w:pPr>
            <w:r w:rsidRPr="00C336A1">
              <w:rPr>
                <w:rFonts w:asciiTheme="minorHAnsi" w:hAnsiTheme="minorHAnsi" w:cstheme="minorHAnsi"/>
                <w:sz w:val="22"/>
                <w:szCs w:val="22"/>
              </w:rPr>
              <w:t>This list of services is provisional</w:t>
            </w:r>
            <w:r w:rsidR="00C336A1">
              <w:rPr>
                <w:rFonts w:asciiTheme="minorHAnsi" w:hAnsiTheme="minorHAnsi" w:cstheme="minorHAnsi"/>
                <w:sz w:val="22"/>
                <w:szCs w:val="22"/>
              </w:rPr>
              <w:t xml:space="preserve"> and non-exhaustive</w:t>
            </w:r>
            <w:r w:rsidRPr="00C336A1">
              <w:rPr>
                <w:rFonts w:asciiTheme="minorHAnsi" w:hAnsiTheme="minorHAnsi" w:cstheme="minorHAnsi"/>
                <w:sz w:val="22"/>
                <w:szCs w:val="22"/>
              </w:rPr>
              <w:t>, and more details will be published in the</w:t>
            </w:r>
            <w:r w:rsidR="0082458D" w:rsidRPr="00C336A1">
              <w:rPr>
                <w:rFonts w:asciiTheme="minorHAnsi" w:hAnsiTheme="minorHAnsi" w:cstheme="minorHAnsi"/>
                <w:sz w:val="22"/>
                <w:szCs w:val="22"/>
              </w:rPr>
              <w:t xml:space="preserve"> respective</w:t>
            </w:r>
            <w:r w:rsidRPr="00C336A1">
              <w:rPr>
                <w:rFonts w:asciiTheme="minorHAnsi" w:hAnsiTheme="minorHAnsi" w:cstheme="minorHAnsi"/>
                <w:sz w:val="22"/>
                <w:szCs w:val="22"/>
              </w:rPr>
              <w:t xml:space="preserve"> Terms of Reference</w:t>
            </w:r>
            <w:r w:rsidR="0082458D" w:rsidRPr="00C336A1">
              <w:rPr>
                <w:rFonts w:asciiTheme="minorHAnsi" w:hAnsiTheme="minorHAnsi" w:cstheme="minorHAnsi"/>
                <w:sz w:val="22"/>
                <w:szCs w:val="22"/>
              </w:rPr>
              <w:t xml:space="preserve"> per stage</w:t>
            </w:r>
            <w:r w:rsidR="002B1BBB" w:rsidRPr="00C336A1">
              <w:rPr>
                <w:rFonts w:asciiTheme="minorHAnsi" w:hAnsiTheme="minorHAnsi" w:cstheme="minorHAnsi"/>
                <w:sz w:val="22"/>
                <w:szCs w:val="22"/>
              </w:rPr>
              <w:t xml:space="preserve"> on the eSourcing portal</w:t>
            </w:r>
            <w:r w:rsidRPr="00C336A1">
              <w:rPr>
                <w:rFonts w:asciiTheme="minorHAnsi" w:hAnsiTheme="minorHAnsi" w:cstheme="minorHAnsi"/>
                <w:sz w:val="22"/>
                <w:szCs w:val="22"/>
              </w:rPr>
              <w:t xml:space="preserve">. The call for tender for these services is split into multiple </w:t>
            </w:r>
            <w:r w:rsidR="00C2784E" w:rsidRPr="00C336A1">
              <w:rPr>
                <w:rFonts w:asciiTheme="minorHAnsi" w:hAnsiTheme="minorHAnsi" w:cstheme="minorHAnsi"/>
                <w:sz w:val="22"/>
                <w:szCs w:val="22"/>
              </w:rPr>
              <w:t>cores</w:t>
            </w:r>
            <w:r w:rsidRPr="00C336A1">
              <w:rPr>
                <w:rFonts w:asciiTheme="minorHAnsi" w:hAnsiTheme="minorHAnsi" w:cstheme="minorHAnsi"/>
                <w:sz w:val="22"/>
                <w:szCs w:val="22"/>
              </w:rPr>
              <w:t xml:space="preserve"> and will be conducted in 3 stages, with stage 1 going out for tender in the second quarter of 2019, stage 2 in the third quarter of 2019 and stage 3 in late 2019. </w:t>
            </w:r>
          </w:p>
          <w:p w14:paraId="41E2B7A3" w14:textId="77777777" w:rsidR="00D952A0" w:rsidRPr="00C336A1" w:rsidRDefault="00D952A0" w:rsidP="00B00C5E">
            <w:pPr>
              <w:pStyle w:val="Default"/>
              <w:jc w:val="both"/>
              <w:rPr>
                <w:rFonts w:asciiTheme="minorHAnsi" w:hAnsiTheme="minorHAnsi" w:cstheme="minorHAnsi"/>
                <w:sz w:val="22"/>
                <w:szCs w:val="22"/>
              </w:rPr>
            </w:pPr>
          </w:p>
          <w:p w14:paraId="26E95374" w14:textId="77777777" w:rsidR="00E51B6A" w:rsidRPr="00C336A1" w:rsidRDefault="002B1BBB" w:rsidP="00B00C5E">
            <w:pPr>
              <w:pStyle w:val="Default"/>
              <w:jc w:val="both"/>
              <w:rPr>
                <w:rFonts w:asciiTheme="minorHAnsi" w:hAnsiTheme="minorHAnsi" w:cstheme="minorHAnsi"/>
                <w:sz w:val="22"/>
                <w:szCs w:val="22"/>
              </w:rPr>
            </w:pPr>
            <w:r w:rsidRPr="00C336A1">
              <w:rPr>
                <w:rFonts w:asciiTheme="minorHAnsi" w:hAnsiTheme="minorHAnsi" w:cstheme="minorHAnsi"/>
                <w:sz w:val="22"/>
                <w:szCs w:val="22"/>
              </w:rPr>
              <w:t xml:space="preserve">Bidders are encouraged to find interested and experienced partners to form consortia to perform the work below wherever necessary. </w:t>
            </w:r>
          </w:p>
          <w:p w14:paraId="45F47656" w14:textId="77777777" w:rsidR="00C336A1" w:rsidRDefault="00C336A1" w:rsidP="00CC13D5">
            <w:pPr>
              <w:pStyle w:val="Default"/>
              <w:jc w:val="both"/>
              <w:rPr>
                <w:rFonts w:asciiTheme="minorHAnsi" w:hAnsiTheme="minorHAnsi" w:cstheme="minorHAnsi"/>
                <w:sz w:val="22"/>
                <w:szCs w:val="22"/>
              </w:rPr>
            </w:pPr>
          </w:p>
          <w:p w14:paraId="2461ED98" w14:textId="77777777" w:rsidR="00C336A1" w:rsidRDefault="00C336A1" w:rsidP="00CC13D5">
            <w:pPr>
              <w:pStyle w:val="Default"/>
              <w:jc w:val="both"/>
              <w:rPr>
                <w:rFonts w:asciiTheme="minorHAnsi" w:hAnsiTheme="minorHAnsi" w:cstheme="minorHAnsi"/>
                <w:sz w:val="22"/>
                <w:szCs w:val="22"/>
              </w:rPr>
            </w:pPr>
          </w:p>
          <w:p w14:paraId="567A5B96" w14:textId="77777777" w:rsidR="00C336A1" w:rsidRDefault="00C336A1" w:rsidP="00CC13D5">
            <w:pPr>
              <w:pStyle w:val="Default"/>
              <w:jc w:val="both"/>
              <w:rPr>
                <w:rFonts w:asciiTheme="minorHAnsi" w:hAnsiTheme="minorHAnsi" w:cstheme="minorHAnsi"/>
                <w:sz w:val="22"/>
                <w:szCs w:val="22"/>
              </w:rPr>
            </w:pPr>
          </w:p>
          <w:p w14:paraId="53115145" w14:textId="77777777" w:rsidR="00CC13D5" w:rsidRPr="00C336A1" w:rsidRDefault="00CC13D5" w:rsidP="00CC13D5">
            <w:pPr>
              <w:pStyle w:val="Default"/>
              <w:jc w:val="both"/>
              <w:rPr>
                <w:rFonts w:asciiTheme="minorHAnsi" w:hAnsiTheme="minorHAnsi" w:cstheme="minorHAnsi"/>
                <w:color w:val="auto"/>
                <w:sz w:val="22"/>
                <w:szCs w:val="22"/>
              </w:rPr>
            </w:pPr>
          </w:p>
          <w:p w14:paraId="716273AA" w14:textId="62065F4C" w:rsidR="00C2784E" w:rsidRPr="00C336A1" w:rsidRDefault="00C336A1" w:rsidP="00CC13D5">
            <w:pPr>
              <w:pStyle w:val="ListParagraph"/>
              <w:numPr>
                <w:ilvl w:val="0"/>
                <w:numId w:val="4"/>
              </w:numPr>
              <w:jc w:val="both"/>
              <w:outlineLvl w:val="0"/>
              <w:rPr>
                <w:rFonts w:cstheme="minorHAnsi"/>
                <w:b/>
              </w:rPr>
            </w:pPr>
            <w:r>
              <w:rPr>
                <w:rFonts w:cstheme="minorHAnsi"/>
                <w:b/>
              </w:rPr>
              <w:t>STRUCTURAL REQUIREMENTS FOR</w:t>
            </w:r>
            <w:r w:rsidR="00C2784E" w:rsidRPr="00C336A1">
              <w:rPr>
                <w:rFonts w:cstheme="minorHAnsi"/>
                <w:b/>
              </w:rPr>
              <w:t xml:space="preserve"> BIDDERS</w:t>
            </w:r>
          </w:p>
          <w:p w14:paraId="0A2DE364" w14:textId="52EB211F" w:rsidR="00C2784E" w:rsidRPr="00C336A1" w:rsidRDefault="00C2784E" w:rsidP="0082458D">
            <w:pPr>
              <w:jc w:val="both"/>
              <w:outlineLvl w:val="0"/>
              <w:rPr>
                <w:rFonts w:cstheme="minorHAnsi"/>
              </w:rPr>
            </w:pPr>
            <w:r w:rsidRPr="00C336A1">
              <w:rPr>
                <w:rFonts w:cstheme="minorHAnsi"/>
              </w:rPr>
              <w:t>PISA 2024 is a demanding project and the services described above are very complex and require large organisational structures to be provided successfully for the entire course of the project.</w:t>
            </w:r>
            <w:r w:rsidR="00B04E39" w:rsidRPr="00C336A1">
              <w:rPr>
                <w:rFonts w:cstheme="minorHAnsi"/>
              </w:rPr>
              <w:t xml:space="preserve"> </w:t>
            </w:r>
            <w:r w:rsidR="00D952A0" w:rsidRPr="00C336A1">
              <w:rPr>
                <w:rFonts w:cstheme="minorHAnsi"/>
              </w:rPr>
              <w:t>The OECD regularly calls for proposals or tenders in regards to the provision of analysis, reporting and policy advise services which individuals are eligible for</w:t>
            </w:r>
            <w:r w:rsidR="00062BF6">
              <w:rPr>
                <w:rFonts w:cstheme="minorHAnsi"/>
              </w:rPr>
              <w:t>. H</w:t>
            </w:r>
            <w:r w:rsidR="00D952A0" w:rsidRPr="00C336A1">
              <w:rPr>
                <w:rFonts w:cstheme="minorHAnsi"/>
              </w:rPr>
              <w:t xml:space="preserve">owever, for </w:t>
            </w:r>
            <w:r w:rsidR="00062BF6">
              <w:rPr>
                <w:rFonts w:cstheme="minorHAnsi"/>
              </w:rPr>
              <w:t>PISA 2024</w:t>
            </w:r>
            <w:r w:rsidR="00D952A0" w:rsidRPr="00C336A1">
              <w:rPr>
                <w:rFonts w:cstheme="minorHAnsi"/>
              </w:rPr>
              <w:t xml:space="preserve"> call for tenders</w:t>
            </w:r>
            <w:r w:rsidR="00062BF6">
              <w:rPr>
                <w:rFonts w:cstheme="minorHAnsi"/>
              </w:rPr>
              <w:t>,</w:t>
            </w:r>
            <w:r w:rsidR="00D952A0" w:rsidRPr="00C336A1">
              <w:rPr>
                <w:rFonts w:cstheme="minorHAnsi"/>
              </w:rPr>
              <w:t xml:space="preserve"> </w:t>
            </w:r>
            <w:r w:rsidR="00062BF6">
              <w:rPr>
                <w:rFonts w:cstheme="minorHAnsi"/>
              </w:rPr>
              <w:t xml:space="preserve">applications from </w:t>
            </w:r>
            <w:r w:rsidR="00D952A0" w:rsidRPr="00C336A1">
              <w:rPr>
                <w:rFonts w:cstheme="minorHAnsi"/>
              </w:rPr>
              <w:t xml:space="preserve">individuals and one-person companies will not be eligible. Furthermore, an institutional </w:t>
            </w:r>
            <w:r w:rsidR="00055CAB">
              <w:rPr>
                <w:rFonts w:cstheme="minorHAnsi"/>
              </w:rPr>
              <w:t>track-</w:t>
            </w:r>
            <w:r w:rsidR="00055CAB" w:rsidRPr="00C336A1">
              <w:rPr>
                <w:rFonts w:cstheme="minorHAnsi"/>
              </w:rPr>
              <w:t>record</w:t>
            </w:r>
            <w:r w:rsidR="00D952A0" w:rsidRPr="00C336A1">
              <w:rPr>
                <w:rFonts w:cstheme="minorHAnsi"/>
              </w:rPr>
              <w:t xml:space="preserve"> in large scale educational assessment is strongly recommended. </w:t>
            </w:r>
            <w:r w:rsidR="00B04E39" w:rsidRPr="00C336A1">
              <w:rPr>
                <w:rFonts w:cstheme="minorHAnsi"/>
              </w:rPr>
              <w:t>Based on past experiences the OECD recommends the following structural requirements to bidders</w:t>
            </w:r>
            <w:r w:rsidR="00C336A1">
              <w:rPr>
                <w:rFonts w:cstheme="minorHAnsi"/>
              </w:rPr>
              <w:t xml:space="preserve"> (and consortia of bidders)</w:t>
            </w:r>
            <w:r w:rsidR="00B04E39" w:rsidRPr="00C336A1">
              <w:rPr>
                <w:rFonts w:cstheme="minorHAnsi"/>
              </w:rPr>
              <w:t xml:space="preserve"> for the four cores:</w:t>
            </w:r>
          </w:p>
          <w:p w14:paraId="26C156A4" w14:textId="77777777" w:rsidR="00C336A1" w:rsidRDefault="00B04E39" w:rsidP="000E412E">
            <w:pPr>
              <w:pStyle w:val="ListParagraph"/>
              <w:numPr>
                <w:ilvl w:val="0"/>
                <w:numId w:val="22"/>
              </w:numPr>
              <w:ind w:left="360"/>
              <w:jc w:val="both"/>
              <w:outlineLvl w:val="0"/>
              <w:rPr>
                <w:rFonts w:cstheme="minorHAnsi"/>
              </w:rPr>
            </w:pPr>
            <w:r w:rsidRPr="00C336A1">
              <w:rPr>
                <w:rFonts w:cstheme="minorHAnsi"/>
              </w:rPr>
              <w:t>Organisational size:</w:t>
            </w:r>
            <w:r w:rsidR="00D952A0" w:rsidRPr="00C336A1">
              <w:rPr>
                <w:rFonts w:cstheme="minorHAnsi"/>
              </w:rPr>
              <w:t xml:space="preserve"> </w:t>
            </w:r>
          </w:p>
          <w:p w14:paraId="0B24EFAF" w14:textId="795F4518" w:rsidR="00B04E39" w:rsidRPr="00C336A1" w:rsidRDefault="004F5906" w:rsidP="00C336A1">
            <w:pPr>
              <w:pStyle w:val="ListParagraph"/>
              <w:numPr>
                <w:ilvl w:val="0"/>
                <w:numId w:val="22"/>
              </w:numPr>
              <w:jc w:val="both"/>
              <w:outlineLvl w:val="0"/>
              <w:rPr>
                <w:rFonts w:cstheme="minorHAnsi"/>
              </w:rPr>
            </w:pPr>
            <w:r>
              <w:rPr>
                <w:rFonts w:cstheme="minorHAnsi"/>
              </w:rPr>
              <w:t xml:space="preserve">recommended </w:t>
            </w:r>
            <w:r w:rsidR="00D952A0" w:rsidRPr="00C336A1">
              <w:rPr>
                <w:rFonts w:cstheme="minorHAnsi"/>
              </w:rPr>
              <w:t>organisational size of &gt;50 staff.</w:t>
            </w:r>
          </w:p>
          <w:p w14:paraId="54B560C5" w14:textId="77777777" w:rsidR="00C336A1" w:rsidRDefault="00B04E39" w:rsidP="000E412E">
            <w:pPr>
              <w:pStyle w:val="ListParagraph"/>
              <w:numPr>
                <w:ilvl w:val="0"/>
                <w:numId w:val="22"/>
              </w:numPr>
              <w:ind w:left="360"/>
              <w:jc w:val="both"/>
              <w:outlineLvl w:val="0"/>
              <w:rPr>
                <w:rFonts w:cstheme="minorHAnsi"/>
              </w:rPr>
            </w:pPr>
            <w:r w:rsidRPr="00C336A1">
              <w:rPr>
                <w:rFonts w:cstheme="minorHAnsi"/>
              </w:rPr>
              <w:t>Organisational expertise:</w:t>
            </w:r>
            <w:r w:rsidR="00D952A0" w:rsidRPr="00C336A1">
              <w:rPr>
                <w:rFonts w:cstheme="minorHAnsi"/>
              </w:rPr>
              <w:t xml:space="preserve"> </w:t>
            </w:r>
          </w:p>
          <w:p w14:paraId="196D7B9D" w14:textId="59019BEA" w:rsidR="00B04E39" w:rsidRPr="00C336A1" w:rsidRDefault="00D952A0" w:rsidP="00C336A1">
            <w:pPr>
              <w:pStyle w:val="ListParagraph"/>
              <w:numPr>
                <w:ilvl w:val="0"/>
                <w:numId w:val="22"/>
              </w:numPr>
              <w:jc w:val="both"/>
              <w:outlineLvl w:val="0"/>
              <w:rPr>
                <w:rFonts w:cstheme="minorHAnsi"/>
              </w:rPr>
            </w:pPr>
            <w:r w:rsidRPr="00C336A1">
              <w:rPr>
                <w:rFonts w:cstheme="minorHAnsi"/>
              </w:rPr>
              <w:t xml:space="preserve">organisational expertise in large-scale educational </w:t>
            </w:r>
            <w:r w:rsidR="002B1BBB" w:rsidRPr="00C336A1">
              <w:rPr>
                <w:rFonts w:cstheme="minorHAnsi"/>
              </w:rPr>
              <w:t>assessment</w:t>
            </w:r>
            <w:r w:rsidR="00055CAB">
              <w:rPr>
                <w:rFonts w:cstheme="minorHAnsi"/>
              </w:rPr>
              <w:t xml:space="preserve"> &gt;</w:t>
            </w:r>
            <w:r w:rsidRPr="00C336A1">
              <w:rPr>
                <w:rFonts w:cstheme="minorHAnsi"/>
              </w:rPr>
              <w:t xml:space="preserve">5 years, at least one international large-scale educational assessment project on </w:t>
            </w:r>
            <w:r w:rsidR="002B1BBB" w:rsidRPr="00C336A1">
              <w:rPr>
                <w:rFonts w:cstheme="minorHAnsi"/>
              </w:rPr>
              <w:t>track</w:t>
            </w:r>
            <w:r w:rsidR="00222B03" w:rsidRPr="00C336A1">
              <w:rPr>
                <w:rFonts w:cstheme="minorHAnsi"/>
              </w:rPr>
              <w:t>-</w:t>
            </w:r>
            <w:r w:rsidR="002B1BBB" w:rsidRPr="00C336A1">
              <w:rPr>
                <w:rFonts w:cstheme="minorHAnsi"/>
              </w:rPr>
              <w:t>record</w:t>
            </w:r>
            <w:r w:rsidRPr="00C336A1">
              <w:rPr>
                <w:rFonts w:cstheme="minorHAnsi"/>
              </w:rPr>
              <w:t xml:space="preserve"> of organisation or </w:t>
            </w:r>
            <w:r w:rsidR="002B1BBB" w:rsidRPr="00C336A1">
              <w:rPr>
                <w:rFonts w:cstheme="minorHAnsi"/>
              </w:rPr>
              <w:t xml:space="preserve">multiple core project </w:t>
            </w:r>
            <w:r w:rsidRPr="00C336A1">
              <w:rPr>
                <w:rFonts w:cstheme="minorHAnsi"/>
              </w:rPr>
              <w:t>staff.</w:t>
            </w:r>
          </w:p>
          <w:p w14:paraId="47E52B04" w14:textId="2F870C23" w:rsidR="00D952A0" w:rsidRPr="00C336A1" w:rsidRDefault="00D952A0" w:rsidP="000E412E">
            <w:pPr>
              <w:pStyle w:val="ListParagraph"/>
              <w:numPr>
                <w:ilvl w:val="0"/>
                <w:numId w:val="22"/>
              </w:numPr>
              <w:ind w:left="360"/>
              <w:jc w:val="both"/>
              <w:outlineLvl w:val="0"/>
              <w:rPr>
                <w:rFonts w:cstheme="minorHAnsi"/>
              </w:rPr>
            </w:pPr>
            <w:r w:rsidRPr="00C336A1">
              <w:rPr>
                <w:rFonts w:cstheme="minorHAnsi"/>
              </w:rPr>
              <w:t xml:space="preserve">Core-specific requirements: </w:t>
            </w:r>
          </w:p>
          <w:p w14:paraId="6AE956A8" w14:textId="625BA022" w:rsidR="00D952A0" w:rsidRPr="00C336A1" w:rsidRDefault="00D952A0" w:rsidP="000E412E">
            <w:pPr>
              <w:pStyle w:val="ListParagraph"/>
              <w:numPr>
                <w:ilvl w:val="0"/>
                <w:numId w:val="22"/>
              </w:numPr>
              <w:jc w:val="both"/>
              <w:outlineLvl w:val="0"/>
              <w:rPr>
                <w:rFonts w:cstheme="minorHAnsi"/>
              </w:rPr>
            </w:pPr>
            <w:r w:rsidRPr="00C336A1">
              <w:rPr>
                <w:rFonts w:cstheme="minorHAnsi"/>
              </w:rPr>
              <w:t>Core 1</w:t>
            </w:r>
            <w:r w:rsidR="00C336A1">
              <w:rPr>
                <w:rFonts w:cstheme="minorHAnsi"/>
              </w:rPr>
              <w:t>A</w:t>
            </w:r>
            <w:r w:rsidRPr="00C336A1">
              <w:rPr>
                <w:rFonts w:cstheme="minorHAnsi"/>
              </w:rPr>
              <w:t>:</w:t>
            </w:r>
            <w:r w:rsidR="002B1BBB" w:rsidRPr="00C336A1">
              <w:rPr>
                <w:rFonts w:cstheme="minorHAnsi"/>
              </w:rPr>
              <w:t xml:space="preserve"> required staff expertise in large-scale project management, psychometrics, educational test development, linguistic quality control;</w:t>
            </w:r>
          </w:p>
          <w:p w14:paraId="47D8311E" w14:textId="3401C063" w:rsidR="00D952A0" w:rsidRPr="00C336A1" w:rsidRDefault="00D952A0" w:rsidP="000E412E">
            <w:pPr>
              <w:pStyle w:val="ListParagraph"/>
              <w:numPr>
                <w:ilvl w:val="0"/>
                <w:numId w:val="22"/>
              </w:numPr>
              <w:jc w:val="both"/>
              <w:outlineLvl w:val="0"/>
              <w:rPr>
                <w:rFonts w:cstheme="minorHAnsi"/>
              </w:rPr>
            </w:pPr>
            <w:r w:rsidRPr="00C336A1">
              <w:rPr>
                <w:rFonts w:cstheme="minorHAnsi"/>
              </w:rPr>
              <w:t xml:space="preserve">Core </w:t>
            </w:r>
            <w:r w:rsidR="00DB5CB9" w:rsidRPr="00C336A1">
              <w:rPr>
                <w:rFonts w:cstheme="minorHAnsi"/>
              </w:rPr>
              <w:t>1B</w:t>
            </w:r>
            <w:r w:rsidRPr="00C336A1">
              <w:rPr>
                <w:rFonts w:cstheme="minorHAnsi"/>
              </w:rPr>
              <w:t>:</w:t>
            </w:r>
            <w:r w:rsidR="002B1BBB" w:rsidRPr="00C336A1">
              <w:rPr>
                <w:rFonts w:cstheme="minorHAnsi"/>
              </w:rPr>
              <w:t xml:space="preserve"> required staff expertise in educational test development and programming;</w:t>
            </w:r>
          </w:p>
          <w:p w14:paraId="0ACFCEDD" w14:textId="2A8CF37F" w:rsidR="00DB5CB9" w:rsidRPr="00C336A1" w:rsidRDefault="00DB5CB9" w:rsidP="000E412E">
            <w:pPr>
              <w:pStyle w:val="ListParagraph"/>
              <w:numPr>
                <w:ilvl w:val="0"/>
                <w:numId w:val="22"/>
              </w:numPr>
              <w:jc w:val="both"/>
              <w:outlineLvl w:val="0"/>
              <w:rPr>
                <w:rFonts w:cstheme="minorHAnsi"/>
              </w:rPr>
            </w:pPr>
            <w:r w:rsidRPr="00C336A1">
              <w:rPr>
                <w:rFonts w:cstheme="minorHAnsi"/>
              </w:rPr>
              <w:t>Core 2: required staff expertise in large-scale</w:t>
            </w:r>
            <w:r w:rsidR="0014454E" w:rsidRPr="00C336A1">
              <w:rPr>
                <w:rFonts w:cstheme="minorHAnsi"/>
              </w:rPr>
              <w:t xml:space="preserve"> educational</w:t>
            </w:r>
            <w:r w:rsidRPr="00C336A1">
              <w:rPr>
                <w:rFonts w:cstheme="minorHAnsi"/>
              </w:rPr>
              <w:t xml:space="preserve"> assessment frameworks</w:t>
            </w:r>
            <w:r w:rsidR="0014454E" w:rsidRPr="00C336A1">
              <w:rPr>
                <w:rFonts w:cstheme="minorHAnsi"/>
              </w:rPr>
              <w:t>,</w:t>
            </w:r>
            <w:r w:rsidRPr="00C336A1">
              <w:rPr>
                <w:rFonts w:cstheme="minorHAnsi"/>
              </w:rPr>
              <w:t xml:space="preserve"> educational test development;</w:t>
            </w:r>
          </w:p>
          <w:p w14:paraId="20DF4739" w14:textId="432A45D1" w:rsidR="00D952A0" w:rsidRPr="00C336A1" w:rsidRDefault="00D952A0" w:rsidP="000E412E">
            <w:pPr>
              <w:pStyle w:val="ListParagraph"/>
              <w:numPr>
                <w:ilvl w:val="0"/>
                <w:numId w:val="22"/>
              </w:numPr>
              <w:jc w:val="both"/>
              <w:outlineLvl w:val="0"/>
              <w:rPr>
                <w:rFonts w:cstheme="minorHAnsi"/>
              </w:rPr>
            </w:pPr>
            <w:r w:rsidRPr="00C336A1">
              <w:rPr>
                <w:rFonts w:cstheme="minorHAnsi"/>
              </w:rPr>
              <w:t>Core 3:</w:t>
            </w:r>
            <w:r w:rsidR="002B1BBB" w:rsidRPr="00C336A1">
              <w:rPr>
                <w:rFonts w:cstheme="minorHAnsi"/>
              </w:rPr>
              <w:t xml:space="preserve"> required staff expertise in</w:t>
            </w:r>
            <w:r w:rsidR="0014454E" w:rsidRPr="00C336A1">
              <w:rPr>
                <w:rFonts w:cstheme="minorHAnsi"/>
              </w:rPr>
              <w:t xml:space="preserve"> large-scale educational assessment</w:t>
            </w:r>
            <w:r w:rsidR="002B1BBB" w:rsidRPr="00C336A1">
              <w:rPr>
                <w:rFonts w:cstheme="minorHAnsi"/>
              </w:rPr>
              <w:t xml:space="preserve"> sampling;</w:t>
            </w:r>
          </w:p>
          <w:p w14:paraId="73DC7FD7" w14:textId="5FE5385F" w:rsidR="00D952A0" w:rsidRPr="00C336A1" w:rsidRDefault="00D952A0" w:rsidP="000E412E">
            <w:pPr>
              <w:pStyle w:val="ListParagraph"/>
              <w:numPr>
                <w:ilvl w:val="0"/>
                <w:numId w:val="22"/>
              </w:numPr>
              <w:jc w:val="both"/>
              <w:outlineLvl w:val="0"/>
              <w:rPr>
                <w:rFonts w:cstheme="minorHAnsi"/>
              </w:rPr>
            </w:pPr>
            <w:r w:rsidRPr="00C336A1">
              <w:rPr>
                <w:rFonts w:cstheme="minorHAnsi"/>
              </w:rPr>
              <w:t>Core 4:</w:t>
            </w:r>
            <w:r w:rsidR="002B1BBB" w:rsidRPr="00C336A1">
              <w:rPr>
                <w:rFonts w:cstheme="minorHAnsi"/>
              </w:rPr>
              <w:t xml:space="preserve"> required staff expertise in educational test development and potentially learning analytics.</w:t>
            </w:r>
          </w:p>
          <w:p w14:paraId="6946BC81" w14:textId="77777777" w:rsidR="00B04E39" w:rsidRPr="00C336A1" w:rsidRDefault="00B04E39" w:rsidP="0082458D">
            <w:pPr>
              <w:pStyle w:val="ListParagraph"/>
              <w:ind w:left="1080"/>
              <w:jc w:val="both"/>
              <w:outlineLvl w:val="0"/>
              <w:rPr>
                <w:rFonts w:cstheme="minorHAnsi"/>
              </w:rPr>
            </w:pPr>
          </w:p>
          <w:p w14:paraId="5A6794EA" w14:textId="04B01000" w:rsidR="00CC13D5" w:rsidRPr="00C336A1" w:rsidRDefault="00D47FC4" w:rsidP="00CC13D5">
            <w:pPr>
              <w:pStyle w:val="ListParagraph"/>
              <w:numPr>
                <w:ilvl w:val="0"/>
                <w:numId w:val="4"/>
              </w:numPr>
              <w:jc w:val="both"/>
              <w:outlineLvl w:val="0"/>
              <w:rPr>
                <w:rFonts w:cstheme="minorHAnsi"/>
                <w:b/>
              </w:rPr>
            </w:pPr>
            <w:r w:rsidRPr="00C336A1">
              <w:rPr>
                <w:rFonts w:cstheme="minorHAnsi"/>
                <w:b/>
              </w:rPr>
              <w:t xml:space="preserve">EVALUATION </w:t>
            </w:r>
            <w:r w:rsidR="00CC13D5" w:rsidRPr="00C336A1">
              <w:rPr>
                <w:rFonts w:cstheme="minorHAnsi"/>
                <w:b/>
              </w:rPr>
              <w:t>CRITERIA</w:t>
            </w:r>
          </w:p>
          <w:p w14:paraId="52C8AE79" w14:textId="578115C5" w:rsidR="00CC13D5" w:rsidRPr="00C336A1" w:rsidRDefault="00CC0406" w:rsidP="00CC13D5">
            <w:pPr>
              <w:pStyle w:val="Default"/>
              <w:jc w:val="both"/>
              <w:rPr>
                <w:rFonts w:asciiTheme="minorHAnsi" w:hAnsiTheme="minorHAnsi" w:cstheme="minorHAnsi"/>
                <w:color w:val="auto"/>
                <w:sz w:val="22"/>
                <w:szCs w:val="22"/>
              </w:rPr>
            </w:pPr>
            <w:r w:rsidRPr="00C336A1">
              <w:rPr>
                <w:rFonts w:asciiTheme="minorHAnsi" w:hAnsiTheme="minorHAnsi" w:cstheme="minorHAnsi"/>
                <w:color w:val="auto"/>
                <w:sz w:val="22"/>
                <w:szCs w:val="22"/>
              </w:rPr>
              <w:t xml:space="preserve">Proposals received following the launch of the Call for Tenders will be </w:t>
            </w:r>
            <w:r w:rsidR="0042256A" w:rsidRPr="00C336A1">
              <w:rPr>
                <w:rFonts w:asciiTheme="minorHAnsi" w:hAnsiTheme="minorHAnsi" w:cstheme="minorHAnsi"/>
                <w:color w:val="auto"/>
                <w:sz w:val="22"/>
                <w:szCs w:val="22"/>
              </w:rPr>
              <w:t xml:space="preserve">evaluated against a set of pre-defined </w:t>
            </w:r>
            <w:r w:rsidR="00CC13D5" w:rsidRPr="00C336A1">
              <w:rPr>
                <w:rFonts w:asciiTheme="minorHAnsi" w:hAnsiTheme="minorHAnsi" w:cstheme="minorHAnsi"/>
                <w:color w:val="auto"/>
                <w:sz w:val="22"/>
                <w:szCs w:val="22"/>
              </w:rPr>
              <w:t>evaluation criteria</w:t>
            </w:r>
            <w:r w:rsidR="0042256A" w:rsidRPr="00C336A1">
              <w:rPr>
                <w:rFonts w:asciiTheme="minorHAnsi" w:hAnsiTheme="minorHAnsi" w:cstheme="minorHAnsi"/>
                <w:color w:val="auto"/>
                <w:sz w:val="22"/>
                <w:szCs w:val="22"/>
              </w:rPr>
              <w:t xml:space="preserve"> specified in the tender documents</w:t>
            </w:r>
            <w:r w:rsidRPr="00C336A1">
              <w:rPr>
                <w:rFonts w:asciiTheme="minorHAnsi" w:hAnsiTheme="minorHAnsi" w:cstheme="minorHAnsi"/>
                <w:color w:val="auto"/>
                <w:sz w:val="22"/>
                <w:szCs w:val="22"/>
              </w:rPr>
              <w:t xml:space="preserve">. </w:t>
            </w:r>
            <w:r w:rsidR="0042256A" w:rsidRPr="00C336A1">
              <w:rPr>
                <w:rFonts w:asciiTheme="minorHAnsi" w:hAnsiTheme="minorHAnsi" w:cstheme="minorHAnsi"/>
                <w:color w:val="auto"/>
                <w:sz w:val="22"/>
                <w:szCs w:val="22"/>
              </w:rPr>
              <w:t>Samples for criteria</w:t>
            </w:r>
            <w:r w:rsidRPr="00C336A1">
              <w:rPr>
                <w:rFonts w:asciiTheme="minorHAnsi" w:hAnsiTheme="minorHAnsi" w:cstheme="minorHAnsi"/>
                <w:color w:val="auto"/>
                <w:sz w:val="22"/>
                <w:szCs w:val="22"/>
              </w:rPr>
              <w:t xml:space="preserve"> that could</w:t>
            </w:r>
            <w:r w:rsidR="00CC13D5" w:rsidRPr="00C336A1">
              <w:rPr>
                <w:rFonts w:asciiTheme="minorHAnsi" w:hAnsiTheme="minorHAnsi" w:cstheme="minorHAnsi"/>
                <w:color w:val="auto"/>
                <w:sz w:val="22"/>
                <w:szCs w:val="22"/>
              </w:rPr>
              <w:t xml:space="preserve"> </w:t>
            </w:r>
            <w:r w:rsidR="00FD2830" w:rsidRPr="00C336A1">
              <w:rPr>
                <w:rFonts w:asciiTheme="minorHAnsi" w:hAnsiTheme="minorHAnsi" w:cstheme="minorHAnsi"/>
                <w:color w:val="auto"/>
                <w:sz w:val="22"/>
                <w:szCs w:val="22"/>
              </w:rPr>
              <w:t xml:space="preserve">be used </w:t>
            </w:r>
            <w:r w:rsidR="0042256A" w:rsidRPr="00C336A1">
              <w:rPr>
                <w:rFonts w:asciiTheme="minorHAnsi" w:hAnsiTheme="minorHAnsi" w:cstheme="minorHAnsi"/>
                <w:color w:val="auto"/>
                <w:sz w:val="22"/>
                <w:szCs w:val="22"/>
              </w:rPr>
              <w:t xml:space="preserve">in this process </w:t>
            </w:r>
            <w:r w:rsidRPr="00C336A1">
              <w:rPr>
                <w:rFonts w:asciiTheme="minorHAnsi" w:hAnsiTheme="minorHAnsi" w:cstheme="minorHAnsi"/>
                <w:color w:val="auto"/>
                <w:sz w:val="22"/>
                <w:szCs w:val="22"/>
              </w:rPr>
              <w:t>are</w:t>
            </w:r>
            <w:r w:rsidR="00CC13D5" w:rsidRPr="00C336A1">
              <w:rPr>
                <w:rFonts w:asciiTheme="minorHAnsi" w:hAnsiTheme="minorHAnsi" w:cstheme="minorHAnsi"/>
                <w:color w:val="auto"/>
                <w:sz w:val="22"/>
                <w:szCs w:val="22"/>
              </w:rPr>
              <w:t xml:space="preserve">: </w:t>
            </w:r>
          </w:p>
          <w:p w14:paraId="77DA2D26" w14:textId="423BF31E" w:rsidR="00CC13D5" w:rsidRPr="00C336A1" w:rsidRDefault="00CC13D5" w:rsidP="00594CA7">
            <w:pPr>
              <w:pStyle w:val="Default"/>
              <w:numPr>
                <w:ilvl w:val="0"/>
                <w:numId w:val="14"/>
              </w:numPr>
              <w:jc w:val="both"/>
              <w:rPr>
                <w:rFonts w:asciiTheme="minorHAnsi" w:hAnsiTheme="minorHAnsi" w:cstheme="minorHAnsi"/>
                <w:color w:val="auto"/>
                <w:sz w:val="22"/>
                <w:szCs w:val="22"/>
              </w:rPr>
            </w:pPr>
            <w:r w:rsidRPr="00C336A1">
              <w:rPr>
                <w:rFonts w:asciiTheme="minorHAnsi" w:hAnsiTheme="minorHAnsi" w:cstheme="minorHAnsi"/>
                <w:color w:val="auto"/>
                <w:sz w:val="22"/>
                <w:szCs w:val="22"/>
              </w:rPr>
              <w:t xml:space="preserve">Technical </w:t>
            </w:r>
            <w:r w:rsidR="0042256A" w:rsidRPr="00C336A1">
              <w:rPr>
                <w:rFonts w:asciiTheme="minorHAnsi" w:hAnsiTheme="minorHAnsi" w:cstheme="minorHAnsi"/>
                <w:color w:val="auto"/>
                <w:sz w:val="22"/>
                <w:szCs w:val="22"/>
              </w:rPr>
              <w:t>q</w:t>
            </w:r>
            <w:r w:rsidRPr="00C336A1">
              <w:rPr>
                <w:rFonts w:asciiTheme="minorHAnsi" w:hAnsiTheme="minorHAnsi" w:cstheme="minorHAnsi"/>
                <w:color w:val="auto"/>
                <w:sz w:val="22"/>
                <w:szCs w:val="22"/>
              </w:rPr>
              <w:t xml:space="preserve">uality and </w:t>
            </w:r>
            <w:r w:rsidR="0042256A" w:rsidRPr="00C336A1">
              <w:rPr>
                <w:rFonts w:asciiTheme="minorHAnsi" w:hAnsiTheme="minorHAnsi" w:cstheme="minorHAnsi"/>
                <w:color w:val="auto"/>
                <w:sz w:val="22"/>
                <w:szCs w:val="22"/>
              </w:rPr>
              <w:t>c</w:t>
            </w:r>
            <w:r w:rsidRPr="00C336A1">
              <w:rPr>
                <w:rFonts w:asciiTheme="minorHAnsi" w:hAnsiTheme="minorHAnsi" w:cstheme="minorHAnsi"/>
                <w:color w:val="auto"/>
                <w:sz w:val="22"/>
                <w:szCs w:val="22"/>
              </w:rPr>
              <w:t xml:space="preserve">ompliance </w:t>
            </w:r>
          </w:p>
          <w:p w14:paraId="0802F8CE" w14:textId="20352A6B" w:rsidR="00FD662D" w:rsidRPr="00C336A1" w:rsidRDefault="00CC13D5" w:rsidP="00594CA7">
            <w:pPr>
              <w:pStyle w:val="Default"/>
              <w:numPr>
                <w:ilvl w:val="0"/>
                <w:numId w:val="14"/>
              </w:numPr>
              <w:jc w:val="both"/>
              <w:rPr>
                <w:rFonts w:asciiTheme="minorHAnsi" w:hAnsiTheme="minorHAnsi" w:cstheme="minorHAnsi"/>
                <w:color w:val="auto"/>
                <w:sz w:val="22"/>
                <w:szCs w:val="22"/>
              </w:rPr>
            </w:pPr>
            <w:r w:rsidRPr="00C336A1">
              <w:rPr>
                <w:rFonts w:asciiTheme="minorHAnsi" w:hAnsiTheme="minorHAnsi" w:cstheme="minorHAnsi"/>
                <w:color w:val="auto"/>
                <w:sz w:val="22"/>
                <w:szCs w:val="22"/>
              </w:rPr>
              <w:t xml:space="preserve">Organisational </w:t>
            </w:r>
            <w:r w:rsidR="0042256A" w:rsidRPr="00C336A1">
              <w:rPr>
                <w:rFonts w:asciiTheme="minorHAnsi" w:hAnsiTheme="minorHAnsi" w:cstheme="minorHAnsi"/>
                <w:color w:val="auto"/>
                <w:sz w:val="22"/>
                <w:szCs w:val="22"/>
              </w:rPr>
              <w:t>c</w:t>
            </w:r>
            <w:r w:rsidR="00FD662D" w:rsidRPr="00C336A1">
              <w:rPr>
                <w:rFonts w:asciiTheme="minorHAnsi" w:hAnsiTheme="minorHAnsi" w:cstheme="minorHAnsi"/>
                <w:color w:val="auto"/>
                <w:sz w:val="22"/>
                <w:szCs w:val="22"/>
              </w:rPr>
              <w:t>apabilities</w:t>
            </w:r>
            <w:r w:rsidR="00C2784E" w:rsidRPr="00C336A1">
              <w:rPr>
                <w:rFonts w:asciiTheme="minorHAnsi" w:hAnsiTheme="minorHAnsi" w:cstheme="minorHAnsi"/>
                <w:color w:val="auto"/>
                <w:sz w:val="22"/>
                <w:szCs w:val="22"/>
              </w:rPr>
              <w:t>, experience with similar work</w:t>
            </w:r>
            <w:r w:rsidR="00FD662D" w:rsidRPr="00C336A1">
              <w:rPr>
                <w:rFonts w:asciiTheme="minorHAnsi" w:hAnsiTheme="minorHAnsi" w:cstheme="minorHAnsi"/>
                <w:color w:val="auto"/>
                <w:sz w:val="22"/>
                <w:szCs w:val="22"/>
              </w:rPr>
              <w:t xml:space="preserve"> </w:t>
            </w:r>
            <w:r w:rsidRPr="00C336A1">
              <w:rPr>
                <w:rFonts w:asciiTheme="minorHAnsi" w:hAnsiTheme="minorHAnsi" w:cstheme="minorHAnsi"/>
                <w:color w:val="auto"/>
                <w:sz w:val="22"/>
                <w:szCs w:val="22"/>
              </w:rPr>
              <w:t xml:space="preserve">and </w:t>
            </w:r>
            <w:r w:rsidR="0042256A" w:rsidRPr="00C336A1">
              <w:rPr>
                <w:rFonts w:asciiTheme="minorHAnsi" w:hAnsiTheme="minorHAnsi" w:cstheme="minorHAnsi"/>
                <w:color w:val="auto"/>
                <w:sz w:val="22"/>
                <w:szCs w:val="22"/>
              </w:rPr>
              <w:t>s</w:t>
            </w:r>
            <w:r w:rsidR="00FD662D" w:rsidRPr="00C336A1">
              <w:rPr>
                <w:rFonts w:asciiTheme="minorHAnsi" w:hAnsiTheme="minorHAnsi" w:cstheme="minorHAnsi"/>
                <w:color w:val="auto"/>
                <w:sz w:val="22"/>
                <w:szCs w:val="22"/>
              </w:rPr>
              <w:t>taffing</w:t>
            </w:r>
          </w:p>
          <w:p w14:paraId="750F9CD2" w14:textId="77777777" w:rsidR="00CC13D5" w:rsidRPr="00C336A1" w:rsidRDefault="00FD662D" w:rsidP="00594CA7">
            <w:pPr>
              <w:pStyle w:val="Default"/>
              <w:numPr>
                <w:ilvl w:val="0"/>
                <w:numId w:val="14"/>
              </w:numPr>
              <w:jc w:val="both"/>
              <w:rPr>
                <w:rFonts w:asciiTheme="minorHAnsi" w:hAnsiTheme="minorHAnsi" w:cstheme="minorHAnsi"/>
                <w:color w:val="auto"/>
                <w:sz w:val="22"/>
                <w:szCs w:val="22"/>
              </w:rPr>
            </w:pPr>
            <w:r w:rsidRPr="00C336A1">
              <w:rPr>
                <w:rFonts w:asciiTheme="minorHAnsi" w:hAnsiTheme="minorHAnsi" w:cstheme="minorHAnsi"/>
                <w:color w:val="auto"/>
                <w:sz w:val="22"/>
                <w:szCs w:val="22"/>
              </w:rPr>
              <w:t>Innovation</w:t>
            </w:r>
            <w:r w:rsidR="00CC13D5" w:rsidRPr="00C336A1">
              <w:rPr>
                <w:rFonts w:asciiTheme="minorHAnsi" w:hAnsiTheme="minorHAnsi" w:cstheme="minorHAnsi"/>
                <w:color w:val="auto"/>
                <w:sz w:val="22"/>
                <w:szCs w:val="22"/>
              </w:rPr>
              <w:t xml:space="preserve"> </w:t>
            </w:r>
          </w:p>
          <w:p w14:paraId="2AD76A7C" w14:textId="1B94386C" w:rsidR="00CC13D5" w:rsidRPr="00C336A1" w:rsidRDefault="00CC13D5" w:rsidP="00CC13D5">
            <w:pPr>
              <w:pStyle w:val="Default"/>
              <w:numPr>
                <w:ilvl w:val="0"/>
                <w:numId w:val="14"/>
              </w:numPr>
              <w:jc w:val="both"/>
              <w:rPr>
                <w:rFonts w:asciiTheme="minorHAnsi" w:hAnsiTheme="minorHAnsi" w:cstheme="minorHAnsi"/>
                <w:color w:val="auto"/>
                <w:sz w:val="22"/>
                <w:szCs w:val="22"/>
              </w:rPr>
            </w:pPr>
            <w:r w:rsidRPr="00C336A1">
              <w:rPr>
                <w:rFonts w:asciiTheme="minorHAnsi" w:hAnsiTheme="minorHAnsi" w:cstheme="minorHAnsi"/>
                <w:color w:val="auto"/>
                <w:sz w:val="22"/>
                <w:szCs w:val="22"/>
              </w:rPr>
              <w:t xml:space="preserve">Value for </w:t>
            </w:r>
            <w:r w:rsidR="0042256A" w:rsidRPr="00C336A1">
              <w:rPr>
                <w:rFonts w:asciiTheme="minorHAnsi" w:hAnsiTheme="minorHAnsi" w:cstheme="minorHAnsi"/>
                <w:color w:val="auto"/>
                <w:sz w:val="22"/>
                <w:szCs w:val="22"/>
              </w:rPr>
              <w:t>m</w:t>
            </w:r>
            <w:r w:rsidRPr="00C336A1">
              <w:rPr>
                <w:rFonts w:asciiTheme="minorHAnsi" w:hAnsiTheme="minorHAnsi" w:cstheme="minorHAnsi"/>
                <w:color w:val="auto"/>
                <w:sz w:val="22"/>
                <w:szCs w:val="22"/>
              </w:rPr>
              <w:t xml:space="preserve">oney </w:t>
            </w:r>
          </w:p>
          <w:p w14:paraId="0B39C045" w14:textId="77777777" w:rsidR="00C336A1" w:rsidRDefault="00C336A1" w:rsidP="00CC0406">
            <w:pPr>
              <w:pStyle w:val="Default"/>
              <w:jc w:val="both"/>
              <w:rPr>
                <w:rFonts w:asciiTheme="minorHAnsi" w:hAnsiTheme="minorHAnsi" w:cstheme="minorHAnsi"/>
                <w:sz w:val="22"/>
                <w:szCs w:val="22"/>
              </w:rPr>
            </w:pPr>
          </w:p>
          <w:p w14:paraId="2608B94D" w14:textId="405E1372" w:rsidR="00C336A1" w:rsidRPr="000E412E" w:rsidRDefault="00C336A1" w:rsidP="00C336A1">
            <w:pPr>
              <w:pStyle w:val="ListParagraph"/>
              <w:numPr>
                <w:ilvl w:val="0"/>
                <w:numId w:val="4"/>
              </w:numPr>
              <w:jc w:val="both"/>
              <w:outlineLvl w:val="0"/>
              <w:rPr>
                <w:rFonts w:cstheme="minorHAnsi"/>
                <w:b/>
              </w:rPr>
            </w:pPr>
            <w:r w:rsidRPr="000E412E">
              <w:rPr>
                <w:rFonts w:cstheme="minorHAnsi"/>
                <w:b/>
              </w:rPr>
              <w:t>POTENTIAL BIDDERS SEMINAR</w:t>
            </w:r>
          </w:p>
          <w:p w14:paraId="0B541D8E" w14:textId="2D3D1AF3" w:rsidR="00062BF6" w:rsidRDefault="00C336A1" w:rsidP="000E412E">
            <w:pPr>
              <w:pStyle w:val="Default"/>
              <w:spacing w:line="276" w:lineRule="auto"/>
              <w:jc w:val="both"/>
              <w:rPr>
                <w:rFonts w:asciiTheme="minorHAnsi" w:hAnsiTheme="minorHAnsi" w:cstheme="minorHAnsi"/>
                <w:sz w:val="22"/>
                <w:szCs w:val="22"/>
              </w:rPr>
            </w:pPr>
            <w:r w:rsidRPr="00C336A1">
              <w:rPr>
                <w:rFonts w:asciiTheme="minorHAnsi" w:hAnsiTheme="minorHAnsi" w:cstheme="minorHAnsi"/>
                <w:sz w:val="22"/>
                <w:szCs w:val="22"/>
              </w:rPr>
              <w:t xml:space="preserve">A seminar </w:t>
            </w:r>
            <w:r>
              <w:rPr>
                <w:rFonts w:asciiTheme="minorHAnsi" w:hAnsiTheme="minorHAnsi" w:cstheme="minorHAnsi"/>
                <w:sz w:val="22"/>
                <w:szCs w:val="22"/>
              </w:rPr>
              <w:t xml:space="preserve">addressed to potential </w:t>
            </w:r>
            <w:r w:rsidRPr="00C336A1">
              <w:rPr>
                <w:rFonts w:asciiTheme="minorHAnsi" w:hAnsiTheme="minorHAnsi" w:cstheme="minorHAnsi"/>
                <w:sz w:val="22"/>
                <w:szCs w:val="22"/>
              </w:rPr>
              <w:t>bidder</w:t>
            </w:r>
            <w:r>
              <w:rPr>
                <w:rFonts w:asciiTheme="minorHAnsi" w:hAnsiTheme="minorHAnsi" w:cstheme="minorHAnsi"/>
                <w:sz w:val="22"/>
                <w:szCs w:val="22"/>
              </w:rPr>
              <w:t>s</w:t>
            </w:r>
            <w:r w:rsidRPr="00C336A1">
              <w:rPr>
                <w:rFonts w:asciiTheme="minorHAnsi" w:hAnsiTheme="minorHAnsi" w:cstheme="minorHAnsi"/>
                <w:sz w:val="22"/>
                <w:szCs w:val="22"/>
              </w:rPr>
              <w:t xml:space="preserve"> will be held at the OECD in Paris/Boulogne-Billancourt, France, on the afternoon of </w:t>
            </w:r>
            <w:r w:rsidR="00062BF6">
              <w:rPr>
                <w:rFonts w:asciiTheme="minorHAnsi" w:hAnsiTheme="minorHAnsi" w:cstheme="minorHAnsi"/>
                <w:sz w:val="22"/>
                <w:szCs w:val="22"/>
              </w:rPr>
              <w:t xml:space="preserve">Monday </w:t>
            </w:r>
            <w:r w:rsidRPr="00C336A1">
              <w:rPr>
                <w:rFonts w:asciiTheme="minorHAnsi" w:hAnsiTheme="minorHAnsi" w:cstheme="minorHAnsi"/>
                <w:sz w:val="22"/>
                <w:szCs w:val="22"/>
              </w:rPr>
              <w:t xml:space="preserve">13 May 2019. Interested </w:t>
            </w:r>
            <w:r w:rsidR="00062BF6">
              <w:rPr>
                <w:rFonts w:asciiTheme="minorHAnsi" w:hAnsiTheme="minorHAnsi" w:cstheme="minorHAnsi"/>
                <w:sz w:val="22"/>
                <w:szCs w:val="22"/>
              </w:rPr>
              <w:t>potential bidders</w:t>
            </w:r>
            <w:r w:rsidRPr="00C336A1">
              <w:rPr>
                <w:rFonts w:asciiTheme="minorHAnsi" w:hAnsiTheme="minorHAnsi" w:cstheme="minorHAnsi"/>
                <w:sz w:val="22"/>
                <w:szCs w:val="22"/>
              </w:rPr>
              <w:t xml:space="preserve"> may register up to three members of their staff to attend the seminar in person at the OECD in Boulogne-Billancourt, France </w:t>
            </w:r>
            <w:r w:rsidR="00055CAB">
              <w:rPr>
                <w:rFonts w:asciiTheme="minorHAnsi" w:hAnsiTheme="minorHAnsi" w:cstheme="minorHAnsi"/>
                <w:sz w:val="22"/>
                <w:szCs w:val="22"/>
              </w:rPr>
              <w:t xml:space="preserve">by email to </w:t>
            </w:r>
            <w:hyperlink r:id="rId12" w:history="1">
              <w:r w:rsidR="00055CAB" w:rsidRPr="00055CAB">
                <w:rPr>
                  <w:rStyle w:val="Hyperlink"/>
                  <w:rFonts w:asciiTheme="minorHAnsi" w:hAnsiTheme="minorHAnsi" w:cstheme="minorHAnsi"/>
                  <w:sz w:val="22"/>
                  <w:szCs w:val="22"/>
                </w:rPr>
                <w:t>natalie</w:t>
              </w:r>
              <w:r w:rsidR="00055CAB" w:rsidRPr="0057131F">
                <w:rPr>
                  <w:rStyle w:val="Hyperlink"/>
                  <w:rFonts w:asciiTheme="minorHAnsi" w:hAnsiTheme="minorHAnsi" w:cstheme="minorHAnsi"/>
                  <w:sz w:val="22"/>
                  <w:szCs w:val="22"/>
                </w:rPr>
                <w:t>.laechelt@oecd.org</w:t>
              </w:r>
            </w:hyperlink>
            <w:r w:rsidR="00055CAB">
              <w:rPr>
                <w:rFonts w:asciiTheme="minorHAnsi" w:hAnsiTheme="minorHAnsi" w:cstheme="minorHAnsi"/>
                <w:sz w:val="22"/>
                <w:szCs w:val="22"/>
              </w:rPr>
              <w:t xml:space="preserve"> </w:t>
            </w:r>
            <w:r w:rsidRPr="00C336A1">
              <w:rPr>
                <w:rFonts w:asciiTheme="minorHAnsi" w:hAnsiTheme="minorHAnsi" w:cstheme="minorHAnsi"/>
                <w:sz w:val="22"/>
                <w:szCs w:val="22"/>
              </w:rPr>
              <w:t xml:space="preserve">or via our web-conferencing service via the following link </w:t>
            </w:r>
            <w:hyperlink r:id="rId13" w:history="1">
              <w:r w:rsidRPr="00C336A1">
                <w:rPr>
                  <w:rStyle w:val="Hyperlink"/>
                  <w:rFonts w:asciiTheme="minorHAnsi" w:hAnsiTheme="minorHAnsi" w:cstheme="minorHAnsi"/>
                  <w:sz w:val="22"/>
                  <w:szCs w:val="22"/>
                </w:rPr>
                <w:t>http://bit.ly/PISA24BidderSem</w:t>
              </w:r>
            </w:hyperlink>
            <w:r w:rsidRPr="00C336A1">
              <w:rPr>
                <w:rFonts w:asciiTheme="minorHAnsi" w:hAnsiTheme="minorHAnsi" w:cstheme="minorHAnsi"/>
                <w:sz w:val="22"/>
                <w:szCs w:val="22"/>
              </w:rPr>
              <w:t xml:space="preserve"> by 10 May 2019. </w:t>
            </w:r>
          </w:p>
          <w:p w14:paraId="612F0635" w14:textId="77777777" w:rsidR="00062BF6" w:rsidRDefault="00062BF6" w:rsidP="000E412E">
            <w:pPr>
              <w:pStyle w:val="Default"/>
              <w:spacing w:line="276" w:lineRule="auto"/>
              <w:jc w:val="both"/>
              <w:rPr>
                <w:rFonts w:asciiTheme="minorHAnsi" w:hAnsiTheme="minorHAnsi" w:cstheme="minorHAnsi"/>
                <w:sz w:val="22"/>
                <w:szCs w:val="22"/>
              </w:rPr>
            </w:pPr>
          </w:p>
          <w:p w14:paraId="160E002E" w14:textId="78A1AB1B" w:rsidR="00CC0406" w:rsidRDefault="00062BF6" w:rsidP="000E412E">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In-person p</w:t>
            </w:r>
            <w:r w:rsidR="00C336A1" w:rsidRPr="00C336A1">
              <w:rPr>
                <w:rFonts w:asciiTheme="minorHAnsi" w:hAnsiTheme="minorHAnsi" w:cstheme="minorHAnsi"/>
                <w:sz w:val="22"/>
                <w:szCs w:val="22"/>
              </w:rPr>
              <w:t>articipat</w:t>
            </w:r>
            <w:r>
              <w:rPr>
                <w:rFonts w:asciiTheme="minorHAnsi" w:hAnsiTheme="minorHAnsi" w:cstheme="minorHAnsi"/>
                <w:sz w:val="22"/>
                <w:szCs w:val="22"/>
              </w:rPr>
              <w:t>ion to the</w:t>
            </w:r>
            <w:r w:rsidR="00C336A1" w:rsidRPr="00C336A1">
              <w:rPr>
                <w:rFonts w:asciiTheme="minorHAnsi" w:hAnsiTheme="minorHAnsi" w:cstheme="minorHAnsi"/>
                <w:sz w:val="22"/>
                <w:szCs w:val="22"/>
              </w:rPr>
              <w:t xml:space="preserve"> seminar </w:t>
            </w:r>
            <w:r>
              <w:rPr>
                <w:rFonts w:asciiTheme="minorHAnsi" w:hAnsiTheme="minorHAnsi" w:cstheme="minorHAnsi"/>
                <w:sz w:val="22"/>
                <w:szCs w:val="22"/>
              </w:rPr>
              <w:t xml:space="preserve">is not compulsory for potential candidates, and the seminar </w:t>
            </w:r>
            <w:r w:rsidR="00C336A1" w:rsidRPr="00C336A1">
              <w:rPr>
                <w:rFonts w:asciiTheme="minorHAnsi" w:hAnsiTheme="minorHAnsi" w:cstheme="minorHAnsi"/>
                <w:sz w:val="22"/>
                <w:szCs w:val="22"/>
              </w:rPr>
              <w:t>will be recorded and made available to all bidders afterwards.</w:t>
            </w:r>
          </w:p>
          <w:p w14:paraId="0F199529" w14:textId="77777777" w:rsidR="00C336A1" w:rsidRDefault="00C336A1" w:rsidP="000E412E">
            <w:pPr>
              <w:pStyle w:val="Default"/>
              <w:spacing w:line="276" w:lineRule="auto"/>
              <w:jc w:val="both"/>
              <w:rPr>
                <w:rFonts w:asciiTheme="minorHAnsi" w:hAnsiTheme="minorHAnsi" w:cstheme="minorHAnsi"/>
                <w:sz w:val="22"/>
                <w:szCs w:val="22"/>
              </w:rPr>
            </w:pPr>
          </w:p>
          <w:p w14:paraId="251CCF3F" w14:textId="4EF35EF6" w:rsidR="00C336A1" w:rsidRPr="00C336A1" w:rsidRDefault="00C336A1" w:rsidP="000E412E">
            <w:pPr>
              <w:pStyle w:val="Default"/>
              <w:spacing w:line="276" w:lineRule="auto"/>
              <w:jc w:val="both"/>
              <w:rPr>
                <w:rFonts w:asciiTheme="minorHAnsi" w:hAnsiTheme="minorHAnsi" w:cstheme="minorHAnsi"/>
                <w:color w:val="auto"/>
                <w:sz w:val="22"/>
                <w:szCs w:val="22"/>
              </w:rPr>
            </w:pPr>
            <w:r>
              <w:rPr>
                <w:rFonts w:asciiTheme="minorHAnsi" w:hAnsiTheme="minorHAnsi" w:cstheme="minorHAnsi"/>
                <w:sz w:val="22"/>
                <w:szCs w:val="22"/>
              </w:rPr>
              <w:t xml:space="preserve">The seminar will be </w:t>
            </w:r>
            <w:r w:rsidR="00055CAB">
              <w:rPr>
                <w:rFonts w:asciiTheme="minorHAnsi" w:hAnsiTheme="minorHAnsi" w:cstheme="minorHAnsi"/>
                <w:sz w:val="22"/>
                <w:szCs w:val="22"/>
              </w:rPr>
              <w:t>conducted by the PISA team</w:t>
            </w:r>
            <w:r>
              <w:rPr>
                <w:rFonts w:asciiTheme="minorHAnsi" w:hAnsiTheme="minorHAnsi" w:cstheme="minorHAnsi"/>
                <w:sz w:val="22"/>
                <w:szCs w:val="22"/>
              </w:rPr>
              <w:t xml:space="preserve"> </w:t>
            </w:r>
            <w:r w:rsidR="00055CAB">
              <w:rPr>
                <w:rFonts w:asciiTheme="minorHAnsi" w:hAnsiTheme="minorHAnsi" w:cstheme="minorHAnsi"/>
                <w:sz w:val="22"/>
                <w:szCs w:val="22"/>
              </w:rPr>
              <w:t xml:space="preserve">and </w:t>
            </w:r>
            <w:r>
              <w:rPr>
                <w:rFonts w:asciiTheme="minorHAnsi" w:hAnsiTheme="minorHAnsi" w:cstheme="minorHAnsi"/>
                <w:sz w:val="22"/>
                <w:szCs w:val="22"/>
              </w:rPr>
              <w:t>further discuss</w:t>
            </w:r>
            <w:r w:rsidRPr="00C336A1">
              <w:rPr>
                <w:rFonts w:asciiTheme="minorHAnsi" w:hAnsiTheme="minorHAnsi" w:cstheme="minorHAnsi"/>
                <w:sz w:val="22"/>
                <w:szCs w:val="22"/>
              </w:rPr>
              <w:t xml:space="preserve"> the tasks under each of the</w:t>
            </w:r>
            <w:r>
              <w:rPr>
                <w:rFonts w:asciiTheme="minorHAnsi" w:hAnsiTheme="minorHAnsi" w:cstheme="minorHAnsi"/>
                <w:sz w:val="22"/>
                <w:szCs w:val="22"/>
              </w:rPr>
              <w:t xml:space="preserve"> Cores</w:t>
            </w:r>
            <w:r w:rsidR="00062BF6">
              <w:rPr>
                <w:rFonts w:asciiTheme="minorHAnsi" w:hAnsiTheme="minorHAnsi" w:cstheme="minorHAnsi"/>
                <w:sz w:val="22"/>
                <w:szCs w:val="22"/>
              </w:rPr>
              <w:t>.</w:t>
            </w:r>
          </w:p>
        </w:tc>
      </w:tr>
      <w:tr w:rsidR="00CC13D5" w:rsidRPr="00C336A1" w14:paraId="072BBEF3" w14:textId="77777777" w:rsidTr="00573199">
        <w:tc>
          <w:tcPr>
            <w:tcW w:w="1809" w:type="dxa"/>
            <w:shd w:val="clear" w:color="auto" w:fill="F2F2F2"/>
          </w:tcPr>
          <w:p w14:paraId="16428D33" w14:textId="77777777" w:rsidR="00A72638" w:rsidRPr="00C336A1" w:rsidRDefault="00A72638" w:rsidP="00814FF2">
            <w:pPr>
              <w:rPr>
                <w:rFonts w:cstheme="minorHAnsi"/>
              </w:rPr>
            </w:pPr>
          </w:p>
          <w:p w14:paraId="122F9CFF" w14:textId="77777777" w:rsidR="00CC13D5" w:rsidRPr="00C336A1" w:rsidRDefault="00CC13D5" w:rsidP="00814FF2">
            <w:pPr>
              <w:rPr>
                <w:rFonts w:cstheme="minorHAnsi"/>
              </w:rPr>
            </w:pPr>
            <w:r w:rsidRPr="00C336A1">
              <w:rPr>
                <w:rFonts w:cstheme="minorHAnsi"/>
              </w:rPr>
              <w:t>Additional information:</w:t>
            </w:r>
          </w:p>
        </w:tc>
        <w:tc>
          <w:tcPr>
            <w:tcW w:w="7767" w:type="dxa"/>
            <w:gridSpan w:val="4"/>
            <w:shd w:val="clear" w:color="auto" w:fill="auto"/>
          </w:tcPr>
          <w:p w14:paraId="47A69058" w14:textId="77777777" w:rsidR="00A72638" w:rsidRPr="00C336A1" w:rsidRDefault="00A72638" w:rsidP="0089503F">
            <w:pPr>
              <w:pStyle w:val="Default"/>
              <w:jc w:val="both"/>
              <w:rPr>
                <w:rFonts w:asciiTheme="minorHAnsi" w:hAnsiTheme="minorHAnsi" w:cstheme="minorHAnsi"/>
                <w:color w:val="auto"/>
                <w:sz w:val="22"/>
                <w:szCs w:val="22"/>
              </w:rPr>
            </w:pPr>
          </w:p>
          <w:p w14:paraId="5BFC522A" w14:textId="77777777" w:rsidR="00CC13D5" w:rsidRPr="00C336A1" w:rsidRDefault="00CC13D5" w:rsidP="00CC13D5">
            <w:pPr>
              <w:autoSpaceDE w:val="0"/>
              <w:autoSpaceDN w:val="0"/>
              <w:adjustRightInd w:val="0"/>
              <w:spacing w:after="0" w:line="240" w:lineRule="auto"/>
              <w:jc w:val="both"/>
              <w:rPr>
                <w:rFonts w:cstheme="minorHAnsi"/>
              </w:rPr>
            </w:pPr>
            <w:r w:rsidRPr="00C336A1">
              <w:rPr>
                <w:rFonts w:cstheme="minorHAnsi"/>
              </w:rPr>
              <w:t>The Call for Tenders will be published on the Sourcing Platform of the OECD:</w:t>
            </w:r>
          </w:p>
          <w:p w14:paraId="79E8F90F" w14:textId="77777777" w:rsidR="00CC13D5" w:rsidRPr="00C336A1" w:rsidRDefault="00CC13D5" w:rsidP="00CC13D5">
            <w:pPr>
              <w:autoSpaceDE w:val="0"/>
              <w:autoSpaceDN w:val="0"/>
              <w:adjustRightInd w:val="0"/>
              <w:spacing w:after="0" w:line="240" w:lineRule="auto"/>
              <w:jc w:val="center"/>
              <w:rPr>
                <w:rFonts w:cstheme="minorHAnsi"/>
                <w:color w:val="000000"/>
              </w:rPr>
            </w:pPr>
          </w:p>
          <w:p w14:paraId="79A7B28D" w14:textId="77777777" w:rsidR="00CC13D5" w:rsidRPr="00C336A1" w:rsidRDefault="006D212E" w:rsidP="00CC13D5">
            <w:pPr>
              <w:autoSpaceDE w:val="0"/>
              <w:autoSpaceDN w:val="0"/>
              <w:adjustRightInd w:val="0"/>
              <w:spacing w:after="0" w:line="240" w:lineRule="auto"/>
              <w:jc w:val="center"/>
              <w:rPr>
                <w:rFonts w:cstheme="minorHAnsi"/>
                <w:color w:val="000000"/>
              </w:rPr>
            </w:pPr>
            <w:hyperlink r:id="rId14" w:history="1">
              <w:r w:rsidR="00CC13D5" w:rsidRPr="00C336A1">
                <w:rPr>
                  <w:rStyle w:val="Hyperlink"/>
                  <w:rFonts w:cstheme="minorHAnsi"/>
                </w:rPr>
                <w:t>https://oecd.bravosolution.com/web/en/login.html</w:t>
              </w:r>
            </w:hyperlink>
          </w:p>
          <w:p w14:paraId="3179C009" w14:textId="77777777" w:rsidR="00CC13D5" w:rsidRPr="00C336A1" w:rsidRDefault="00CC13D5" w:rsidP="00781B57">
            <w:pPr>
              <w:pStyle w:val="Default"/>
              <w:jc w:val="both"/>
              <w:rPr>
                <w:rFonts w:asciiTheme="minorHAnsi" w:hAnsiTheme="minorHAnsi" w:cstheme="minorHAnsi"/>
                <w:color w:val="auto"/>
                <w:sz w:val="22"/>
                <w:szCs w:val="22"/>
              </w:rPr>
            </w:pPr>
          </w:p>
          <w:p w14:paraId="26C8FA01" w14:textId="77777777" w:rsidR="00CC13D5" w:rsidRPr="00C336A1" w:rsidRDefault="00CC13D5" w:rsidP="00781B57">
            <w:pPr>
              <w:jc w:val="both"/>
              <w:rPr>
                <w:rFonts w:cstheme="minorHAnsi"/>
              </w:rPr>
            </w:pPr>
            <w:r w:rsidRPr="00C336A1">
              <w:rPr>
                <w:rFonts w:cstheme="minorHAnsi"/>
              </w:rPr>
              <w:t>Potential candidates are invited to register on the platform and to specify at least one area of expertise in order to receive updates on this or other different procurement procedures.</w:t>
            </w:r>
          </w:p>
        </w:tc>
      </w:tr>
    </w:tbl>
    <w:p w14:paraId="7D0F9B3F" w14:textId="77777777" w:rsidR="0069104F" w:rsidRDefault="0069104F" w:rsidP="00352C53"/>
    <w:p w14:paraId="5AC3CE2D" w14:textId="77777777" w:rsidR="0069104F" w:rsidRDefault="0069104F">
      <w:r>
        <w:br w:type="page"/>
      </w:r>
    </w:p>
    <w:p w14:paraId="24C97754" w14:textId="77777777" w:rsidR="002577A2" w:rsidRDefault="002577A2" w:rsidP="00352C53"/>
    <w:p w14:paraId="5FF3A954" w14:textId="77777777" w:rsidR="002577A2" w:rsidRDefault="00C30EC6">
      <w:r>
        <w:rPr>
          <w:noProof/>
        </w:rPr>
        <mc:AlternateContent>
          <mc:Choice Requires="wps">
            <w:drawing>
              <wp:anchor distT="0" distB="0" distL="114300" distR="114300" simplePos="0" relativeHeight="251660288" behindDoc="0" locked="0" layoutInCell="1" allowOverlap="1" wp14:anchorId="5D743A22" wp14:editId="4EE71B91">
                <wp:simplePos x="0" y="0"/>
                <wp:positionH relativeFrom="column">
                  <wp:posOffset>-79375</wp:posOffset>
                </wp:positionH>
                <wp:positionV relativeFrom="paragraph">
                  <wp:posOffset>193675</wp:posOffset>
                </wp:positionV>
                <wp:extent cx="6106795" cy="451485"/>
                <wp:effectExtent l="6350" t="13970" r="11430" b="107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451485"/>
                        </a:xfrm>
                        <a:prstGeom prst="rect">
                          <a:avLst/>
                        </a:prstGeom>
                        <a:solidFill>
                          <a:srgbClr val="0070C0"/>
                        </a:solidFill>
                        <a:ln w="9525">
                          <a:solidFill>
                            <a:srgbClr val="000000"/>
                          </a:solidFill>
                          <a:miter lim="800000"/>
                          <a:headEnd/>
                          <a:tailEnd/>
                        </a:ln>
                      </wps:spPr>
                      <wps:txbx>
                        <w:txbxContent>
                          <w:p w14:paraId="6AC10C40" w14:textId="77777777" w:rsidR="000E139F" w:rsidRPr="000E139F" w:rsidRDefault="009D197F" w:rsidP="000E139F">
                            <w:pPr>
                              <w:jc w:val="center"/>
                              <w:rPr>
                                <w:b/>
                                <w:color w:val="FFFFFF" w:themeColor="background1"/>
                                <w:sz w:val="56"/>
                                <w:lang w:val="fr-FR"/>
                              </w:rPr>
                            </w:pPr>
                            <w:r>
                              <w:rPr>
                                <w:b/>
                                <w:color w:val="FFFFFF" w:themeColor="background1"/>
                                <w:sz w:val="36"/>
                                <w:lang w:val="fr-FR"/>
                              </w:rPr>
                              <w:t xml:space="preserve">EOI - </w:t>
                            </w:r>
                            <w:r w:rsidR="000E139F">
                              <w:rPr>
                                <w:b/>
                                <w:color w:val="FFFFFF" w:themeColor="background1"/>
                                <w:sz w:val="36"/>
                                <w:lang w:val="fr-FR"/>
                              </w:rPr>
                              <w:t>CANDIDATES RESPONSE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743A22" id="Text Box 4" o:spid="_x0000_s1027" type="#_x0000_t202" style="position:absolute;margin-left:-6.25pt;margin-top:15.25pt;width:480.85pt;height:3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" fillcolor="#0070c0">
                <v:textbox>
                  <w:txbxContent>
                    <w:p w14:paraId="6AC10C40" w14:textId="77777777" w:rsidR="000E139F" w:rsidRPr="000E139F" w:rsidRDefault="009D197F" w:rsidP="000E139F">
                      <w:pPr>
                        <w:jc w:val="center"/>
                        <w:rPr>
                          <w:b/>
                          <w:color w:val="FFFFFF" w:themeColor="background1"/>
                          <w:sz w:val="56"/>
                          <w:lang w:val="fr-FR"/>
                        </w:rPr>
                      </w:pPr>
                      <w:r>
                        <w:rPr>
                          <w:b/>
                          <w:color w:val="FFFFFF" w:themeColor="background1"/>
                          <w:sz w:val="36"/>
                          <w:lang w:val="fr-FR"/>
                        </w:rPr>
                        <w:t xml:space="preserve">EOI - </w:t>
                      </w:r>
                      <w:r w:rsidR="000E139F">
                        <w:rPr>
                          <w:b/>
                          <w:color w:val="FFFFFF" w:themeColor="background1"/>
                          <w:sz w:val="36"/>
                          <w:lang w:val="fr-FR"/>
                        </w:rPr>
                        <w:t>CANDIDATES RESPONSE FORM</w:t>
                      </w:r>
                    </w:p>
                  </w:txbxContent>
                </v:textbox>
              </v:shape>
            </w:pict>
          </mc:Fallback>
        </mc:AlternateContent>
      </w:r>
    </w:p>
    <w:p w14:paraId="21B3F739" w14:textId="77777777" w:rsidR="002577A2" w:rsidRDefault="002577A2"/>
    <w:p w14:paraId="10201B47" w14:textId="77777777" w:rsidR="002577A2" w:rsidRDefault="002577A2"/>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7035AB" w:rsidRPr="000E139F" w14:paraId="6E1E1A07" w14:textId="77777777" w:rsidTr="007035AB">
        <w:tc>
          <w:tcPr>
            <w:tcW w:w="9576" w:type="dxa"/>
            <w:tcBorders>
              <w:top w:val="single" w:sz="4" w:space="0" w:color="000000"/>
              <w:left w:val="single" w:sz="4" w:space="0" w:color="000000"/>
              <w:bottom w:val="single" w:sz="4" w:space="0" w:color="000000"/>
              <w:right w:val="single" w:sz="4" w:space="0" w:color="000000"/>
            </w:tcBorders>
            <w:shd w:val="clear" w:color="auto" w:fill="FF7979"/>
          </w:tcPr>
          <w:p w14:paraId="3AC336E7" w14:textId="77777777" w:rsidR="007035AB" w:rsidRPr="000E139F" w:rsidRDefault="007035AB" w:rsidP="00984BA4">
            <w:pPr>
              <w:spacing w:before="240"/>
              <w:jc w:val="center"/>
              <w:rPr>
                <w:b/>
              </w:rPr>
            </w:pPr>
            <w:r>
              <w:rPr>
                <w:b/>
              </w:rPr>
              <w:t>NOTICE</w:t>
            </w:r>
          </w:p>
        </w:tc>
      </w:tr>
      <w:tr w:rsidR="007035AB" w:rsidRPr="00B475DD" w14:paraId="40A9F3D1" w14:textId="77777777" w:rsidTr="005D2477">
        <w:tc>
          <w:tcPr>
            <w:tcW w:w="9576" w:type="dxa"/>
            <w:shd w:val="clear" w:color="auto" w:fill="F2F2F2"/>
          </w:tcPr>
          <w:p w14:paraId="13D95DC8" w14:textId="77777777" w:rsidR="007035AB" w:rsidRDefault="007035AB" w:rsidP="007035AB">
            <w:pPr>
              <w:autoSpaceDE w:val="0"/>
              <w:autoSpaceDN w:val="0"/>
              <w:adjustRightInd w:val="0"/>
              <w:spacing w:after="0" w:line="240" w:lineRule="auto"/>
              <w:jc w:val="center"/>
              <w:rPr>
                <w:rFonts w:ascii="Calibri" w:eastAsia="Calibri" w:hAnsi="Calibri" w:cs="Times New Roman"/>
                <w:b/>
                <w:color w:val="262626"/>
                <w:sz w:val="20"/>
                <w:lang w:val="en-US"/>
              </w:rPr>
            </w:pPr>
            <w:r>
              <w:rPr>
                <w:rFonts w:ascii="Calibri" w:eastAsia="Calibri" w:hAnsi="Calibri" w:cs="Times New Roman"/>
                <w:b/>
                <w:color w:val="262626"/>
                <w:sz w:val="20"/>
                <w:lang w:val="en-US"/>
              </w:rPr>
              <w:t xml:space="preserve">The OECD requires  all </w:t>
            </w:r>
            <w:r w:rsidRPr="007035AB">
              <w:rPr>
                <w:rFonts w:ascii="Calibri" w:eastAsia="Calibri" w:hAnsi="Calibri" w:cs="Times New Roman"/>
                <w:b/>
                <w:color w:val="262626"/>
                <w:sz w:val="20"/>
                <w:lang w:val="en-US"/>
              </w:rPr>
              <w:t>Vendors interested in</w:t>
            </w:r>
            <w:r>
              <w:rPr>
                <w:rFonts w:ascii="Calibri" w:eastAsia="Calibri" w:hAnsi="Calibri" w:cs="Times New Roman"/>
                <w:b/>
                <w:color w:val="262626"/>
                <w:sz w:val="20"/>
                <w:lang w:val="en-US"/>
              </w:rPr>
              <w:t xml:space="preserve"> participating to the Call for Tenders to register to the OECD eSourcing Portal (</w:t>
            </w:r>
            <w:hyperlink r:id="rId15" w:history="1">
              <w:r w:rsidRPr="00630B6B">
                <w:rPr>
                  <w:rStyle w:val="Hyperlink"/>
                  <w:rFonts w:ascii="Calibri" w:eastAsia="Calibri" w:hAnsi="Calibri" w:cs="Times New Roman"/>
                  <w:b/>
                  <w:sz w:val="20"/>
                  <w:lang w:val="en-US"/>
                </w:rPr>
                <w:t>https://oecd.bravosolution.com/web/en/login.html</w:t>
              </w:r>
            </w:hyperlink>
            <w:r>
              <w:rPr>
                <w:rFonts w:ascii="Calibri" w:eastAsia="Calibri" w:hAnsi="Calibri" w:cs="Times New Roman"/>
                <w:b/>
                <w:color w:val="262626"/>
                <w:sz w:val="20"/>
                <w:lang w:val="en-US"/>
              </w:rPr>
              <w:t>)</w:t>
            </w:r>
          </w:p>
          <w:p w14:paraId="14EF700A" w14:textId="77777777" w:rsidR="007035AB" w:rsidRPr="00B475DD" w:rsidRDefault="007035AB" w:rsidP="007035AB">
            <w:r w:rsidRPr="007035AB">
              <w:rPr>
                <w:rFonts w:ascii="Calibri" w:eastAsia="Calibri" w:hAnsi="Calibri" w:cs="Times New Roman"/>
                <w:b/>
                <w:color w:val="262626"/>
                <w:sz w:val="20"/>
                <w:lang w:val="en-US"/>
              </w:rPr>
              <w:t xml:space="preserve">Once they are registered on the eSourcing Portal, the </w:t>
            </w:r>
            <w:r>
              <w:rPr>
                <w:rFonts w:ascii="Calibri" w:eastAsia="Calibri" w:hAnsi="Calibri" w:cs="Times New Roman"/>
                <w:b/>
                <w:color w:val="262626"/>
                <w:sz w:val="20"/>
                <w:lang w:val="en-US"/>
              </w:rPr>
              <w:t>users</w:t>
            </w:r>
            <w:r w:rsidRPr="007035AB">
              <w:rPr>
                <w:rFonts w:ascii="Calibri" w:eastAsia="Calibri" w:hAnsi="Calibri" w:cs="Times New Roman"/>
                <w:b/>
                <w:color w:val="262626"/>
                <w:sz w:val="20"/>
                <w:lang w:val="en-US"/>
              </w:rPr>
              <w:t xml:space="preserve"> will be informed of any other tender launched on the P</w:t>
            </w:r>
            <w:r>
              <w:rPr>
                <w:rFonts w:ascii="Calibri" w:eastAsia="Calibri" w:hAnsi="Calibri" w:cs="Times New Roman"/>
                <w:b/>
                <w:color w:val="262626"/>
                <w:sz w:val="20"/>
                <w:lang w:val="en-US"/>
              </w:rPr>
              <w:t>ortal</w:t>
            </w:r>
            <w:r w:rsidRPr="007035AB">
              <w:rPr>
                <w:rFonts w:ascii="Calibri" w:eastAsia="Calibri" w:hAnsi="Calibri" w:cs="Times New Roman"/>
                <w:b/>
                <w:color w:val="262626"/>
                <w:sz w:val="20"/>
                <w:lang w:val="en-US"/>
              </w:rPr>
              <w:t>, and in connection with activities related to the areas of expertise that they have selected.</w:t>
            </w:r>
          </w:p>
        </w:tc>
      </w:tr>
    </w:tbl>
    <w:p w14:paraId="52FB7E01" w14:textId="77777777" w:rsidR="007035AB" w:rsidRDefault="007035AB" w:rsidP="007035AB"/>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2466"/>
        <w:gridCol w:w="504"/>
        <w:gridCol w:w="1620"/>
        <w:gridCol w:w="286"/>
        <w:gridCol w:w="56"/>
        <w:gridCol w:w="2466"/>
      </w:tblGrid>
      <w:tr w:rsidR="000E139F" w:rsidRPr="00B475DD" w14:paraId="327A685D" w14:textId="77777777" w:rsidTr="000E139F">
        <w:tc>
          <w:tcPr>
            <w:tcW w:w="9576" w:type="dxa"/>
            <w:gridSpan w:val="8"/>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151DC77B" w14:textId="77777777" w:rsidR="000E139F" w:rsidRPr="000E139F" w:rsidRDefault="000E139F" w:rsidP="000E139F">
            <w:pPr>
              <w:spacing w:before="240"/>
              <w:jc w:val="center"/>
              <w:rPr>
                <w:b/>
              </w:rPr>
            </w:pPr>
            <w:r w:rsidRPr="000E139F">
              <w:rPr>
                <w:b/>
              </w:rPr>
              <w:t>COMPANY INFORMATION</w:t>
            </w:r>
          </w:p>
        </w:tc>
      </w:tr>
      <w:tr w:rsidR="000E139F" w:rsidRPr="00B475DD" w14:paraId="0990586D" w14:textId="77777777" w:rsidTr="00984BA4">
        <w:tc>
          <w:tcPr>
            <w:tcW w:w="2178" w:type="dxa"/>
            <w:gridSpan w:val="2"/>
            <w:shd w:val="clear" w:color="auto" w:fill="F2F2F2"/>
          </w:tcPr>
          <w:p w14:paraId="1D0297D8" w14:textId="77777777" w:rsidR="000E139F" w:rsidRPr="00B475DD" w:rsidRDefault="00685920" w:rsidP="00685920">
            <w:pPr>
              <w:pStyle w:val="Label"/>
            </w:pPr>
            <w:permStart w:id="876085705" w:edGrp="everyone" w:colFirst="1" w:colLast="1"/>
            <w:r>
              <w:t>Legal Company Name</w:t>
            </w:r>
          </w:p>
        </w:tc>
        <w:tc>
          <w:tcPr>
            <w:tcW w:w="7398" w:type="dxa"/>
            <w:gridSpan w:val="6"/>
          </w:tcPr>
          <w:p w14:paraId="07880E11" w14:textId="77777777" w:rsidR="000E139F" w:rsidRPr="00B475DD" w:rsidRDefault="000E139F" w:rsidP="00984BA4"/>
        </w:tc>
      </w:tr>
      <w:tr w:rsidR="000E139F" w:rsidRPr="00B475DD" w14:paraId="2F95F75E" w14:textId="77777777" w:rsidTr="00984BA4">
        <w:tc>
          <w:tcPr>
            <w:tcW w:w="2178" w:type="dxa"/>
            <w:gridSpan w:val="2"/>
            <w:shd w:val="clear" w:color="auto" w:fill="F2F2F2"/>
          </w:tcPr>
          <w:p w14:paraId="019D148F" w14:textId="77777777" w:rsidR="000E139F" w:rsidRPr="00B475DD" w:rsidRDefault="00685920" w:rsidP="00984BA4">
            <w:pPr>
              <w:pStyle w:val="Label"/>
            </w:pPr>
            <w:permStart w:id="486881100" w:edGrp="everyone" w:colFirst="1" w:colLast="1"/>
            <w:permEnd w:id="876085705"/>
            <w:r>
              <w:t>Company Contact</w:t>
            </w:r>
          </w:p>
        </w:tc>
        <w:tc>
          <w:tcPr>
            <w:tcW w:w="7398" w:type="dxa"/>
            <w:gridSpan w:val="6"/>
          </w:tcPr>
          <w:p w14:paraId="022A65F4" w14:textId="77777777" w:rsidR="000E139F" w:rsidRPr="00B475DD" w:rsidRDefault="000E139F" w:rsidP="00984BA4"/>
        </w:tc>
      </w:tr>
      <w:tr w:rsidR="00685920" w:rsidRPr="00B475DD" w14:paraId="448025CC" w14:textId="77777777" w:rsidTr="00685920">
        <w:tc>
          <w:tcPr>
            <w:tcW w:w="2178" w:type="dxa"/>
            <w:gridSpan w:val="2"/>
            <w:shd w:val="clear" w:color="auto" w:fill="F2F2F2"/>
          </w:tcPr>
          <w:p w14:paraId="273F9931" w14:textId="77777777" w:rsidR="00685920" w:rsidRDefault="00685920" w:rsidP="00984BA4">
            <w:pPr>
              <w:pStyle w:val="Label"/>
            </w:pPr>
            <w:permStart w:id="1556946801" w:edGrp="everyone" w:colFirst="3" w:colLast="3"/>
            <w:permStart w:id="1755347935" w:edGrp="everyone" w:colFirst="1" w:colLast="1"/>
            <w:permEnd w:id="486881100"/>
            <w:r>
              <w:t>Address</w:t>
            </w:r>
          </w:p>
        </w:tc>
        <w:tc>
          <w:tcPr>
            <w:tcW w:w="2466" w:type="dxa"/>
          </w:tcPr>
          <w:p w14:paraId="4DE4B54B" w14:textId="77777777" w:rsidR="00685920" w:rsidRPr="00B475DD" w:rsidRDefault="00685920" w:rsidP="00984BA4"/>
        </w:tc>
        <w:tc>
          <w:tcPr>
            <w:tcW w:w="2410" w:type="dxa"/>
            <w:gridSpan w:val="3"/>
          </w:tcPr>
          <w:p w14:paraId="5A0BE130" w14:textId="77777777" w:rsidR="00685920" w:rsidRPr="00B475DD" w:rsidRDefault="00685920" w:rsidP="00685920">
            <w:pPr>
              <w:pStyle w:val="Label"/>
            </w:pPr>
            <w:r>
              <w:t>City</w:t>
            </w:r>
          </w:p>
        </w:tc>
        <w:tc>
          <w:tcPr>
            <w:tcW w:w="2522" w:type="dxa"/>
            <w:gridSpan w:val="2"/>
          </w:tcPr>
          <w:p w14:paraId="14CAD5FE" w14:textId="77777777" w:rsidR="00685920" w:rsidRPr="00B475DD" w:rsidRDefault="00685920" w:rsidP="00984BA4"/>
        </w:tc>
      </w:tr>
      <w:tr w:rsidR="00685920" w:rsidRPr="00B475DD" w14:paraId="1687FB9E" w14:textId="77777777" w:rsidTr="00685920">
        <w:tc>
          <w:tcPr>
            <w:tcW w:w="2178" w:type="dxa"/>
            <w:gridSpan w:val="2"/>
            <w:shd w:val="clear" w:color="auto" w:fill="F2F2F2"/>
          </w:tcPr>
          <w:p w14:paraId="0336E99E" w14:textId="77777777" w:rsidR="00685920" w:rsidRDefault="00685920" w:rsidP="00984BA4">
            <w:pPr>
              <w:pStyle w:val="Label"/>
            </w:pPr>
            <w:permStart w:id="1483342252" w:edGrp="everyone" w:colFirst="3" w:colLast="3"/>
            <w:permStart w:id="180618540" w:edGrp="everyone" w:colFirst="1" w:colLast="1"/>
            <w:permEnd w:id="1556946801"/>
            <w:permEnd w:id="1755347935"/>
            <w:r>
              <w:t>Postal Code</w:t>
            </w:r>
          </w:p>
        </w:tc>
        <w:tc>
          <w:tcPr>
            <w:tcW w:w="2466" w:type="dxa"/>
          </w:tcPr>
          <w:p w14:paraId="6CACF217" w14:textId="77777777" w:rsidR="00685920" w:rsidRPr="00B475DD" w:rsidRDefault="00685920" w:rsidP="00984BA4"/>
        </w:tc>
        <w:tc>
          <w:tcPr>
            <w:tcW w:w="2410" w:type="dxa"/>
            <w:gridSpan w:val="3"/>
          </w:tcPr>
          <w:p w14:paraId="41D05631" w14:textId="77777777" w:rsidR="00685920" w:rsidRPr="00B475DD" w:rsidRDefault="00685920" w:rsidP="00685920">
            <w:pPr>
              <w:pStyle w:val="Label"/>
            </w:pPr>
            <w:r>
              <w:t>Country</w:t>
            </w:r>
          </w:p>
        </w:tc>
        <w:tc>
          <w:tcPr>
            <w:tcW w:w="2522" w:type="dxa"/>
            <w:gridSpan w:val="2"/>
          </w:tcPr>
          <w:p w14:paraId="70876DB0" w14:textId="77777777" w:rsidR="00685920" w:rsidRPr="00B475DD" w:rsidRDefault="00685920" w:rsidP="00984BA4"/>
        </w:tc>
      </w:tr>
      <w:tr w:rsidR="00685920" w:rsidRPr="00B475DD" w14:paraId="40677F2D" w14:textId="77777777" w:rsidTr="00685920">
        <w:tc>
          <w:tcPr>
            <w:tcW w:w="2178" w:type="dxa"/>
            <w:gridSpan w:val="2"/>
            <w:shd w:val="clear" w:color="auto" w:fill="F2F2F2"/>
          </w:tcPr>
          <w:p w14:paraId="79CC877B" w14:textId="77777777" w:rsidR="00685920" w:rsidRDefault="00685920" w:rsidP="00984BA4">
            <w:pPr>
              <w:pStyle w:val="Label"/>
            </w:pPr>
            <w:permStart w:id="872164115" w:edGrp="everyone" w:colFirst="3" w:colLast="3"/>
            <w:permStart w:id="56573088" w:edGrp="everyone" w:colFirst="1" w:colLast="1"/>
            <w:permEnd w:id="1483342252"/>
            <w:permEnd w:id="180618540"/>
            <w:r>
              <w:t>Phone Number</w:t>
            </w:r>
          </w:p>
        </w:tc>
        <w:tc>
          <w:tcPr>
            <w:tcW w:w="2466" w:type="dxa"/>
          </w:tcPr>
          <w:p w14:paraId="36766488" w14:textId="77777777" w:rsidR="00685920" w:rsidRPr="00B475DD" w:rsidRDefault="00685920" w:rsidP="00984BA4"/>
        </w:tc>
        <w:tc>
          <w:tcPr>
            <w:tcW w:w="2410" w:type="dxa"/>
            <w:gridSpan w:val="3"/>
          </w:tcPr>
          <w:p w14:paraId="76FB9024" w14:textId="77777777" w:rsidR="00685920" w:rsidRDefault="00685920" w:rsidP="00685920">
            <w:pPr>
              <w:pStyle w:val="Label"/>
            </w:pPr>
            <w:r>
              <w:t>Phone Number #2</w:t>
            </w:r>
          </w:p>
        </w:tc>
        <w:tc>
          <w:tcPr>
            <w:tcW w:w="2522" w:type="dxa"/>
            <w:gridSpan w:val="2"/>
          </w:tcPr>
          <w:p w14:paraId="2BD5B402" w14:textId="77777777" w:rsidR="00685920" w:rsidRPr="00B475DD" w:rsidRDefault="00685920" w:rsidP="00984BA4"/>
        </w:tc>
      </w:tr>
      <w:tr w:rsidR="00685920" w:rsidRPr="00B475DD" w14:paraId="08A7999E" w14:textId="77777777" w:rsidTr="003B7EC9">
        <w:tc>
          <w:tcPr>
            <w:tcW w:w="2178" w:type="dxa"/>
            <w:gridSpan w:val="2"/>
            <w:shd w:val="clear" w:color="auto" w:fill="F2F2F2"/>
          </w:tcPr>
          <w:p w14:paraId="5D86C201" w14:textId="77777777" w:rsidR="00685920" w:rsidRDefault="00685920" w:rsidP="00984BA4">
            <w:pPr>
              <w:pStyle w:val="Label"/>
            </w:pPr>
            <w:permStart w:id="2083137511" w:edGrp="everyone" w:colFirst="1" w:colLast="1"/>
            <w:permEnd w:id="872164115"/>
            <w:permEnd w:id="56573088"/>
            <w:r>
              <w:t>E-mail address</w:t>
            </w:r>
          </w:p>
        </w:tc>
        <w:tc>
          <w:tcPr>
            <w:tcW w:w="7398" w:type="dxa"/>
            <w:gridSpan w:val="6"/>
          </w:tcPr>
          <w:p w14:paraId="15CD8658" w14:textId="77777777" w:rsidR="00685920" w:rsidRPr="00B475DD" w:rsidRDefault="00685920" w:rsidP="00984BA4"/>
        </w:tc>
      </w:tr>
      <w:tr w:rsidR="004B6EFE" w:rsidRPr="00B475DD" w14:paraId="0B8848EF" w14:textId="77777777" w:rsidTr="003B7EC9">
        <w:tc>
          <w:tcPr>
            <w:tcW w:w="2178" w:type="dxa"/>
            <w:gridSpan w:val="2"/>
            <w:shd w:val="clear" w:color="auto" w:fill="F2F2F2"/>
          </w:tcPr>
          <w:p w14:paraId="20BCE5FE" w14:textId="77777777" w:rsidR="004B6EFE" w:rsidRDefault="004B6EFE" w:rsidP="00984BA4">
            <w:pPr>
              <w:pStyle w:val="Label"/>
            </w:pPr>
            <w:permStart w:id="1391539215" w:edGrp="everyone" w:colFirst="1" w:colLast="1"/>
            <w:permEnd w:id="2083137511"/>
            <w:r>
              <w:t>Company Website</w:t>
            </w:r>
          </w:p>
        </w:tc>
        <w:tc>
          <w:tcPr>
            <w:tcW w:w="7398" w:type="dxa"/>
            <w:gridSpan w:val="6"/>
          </w:tcPr>
          <w:p w14:paraId="09CFFF78" w14:textId="77777777" w:rsidR="004B6EFE" w:rsidRPr="00B475DD" w:rsidRDefault="004B6EFE" w:rsidP="00984BA4"/>
        </w:tc>
      </w:tr>
      <w:tr w:rsidR="000E139F" w:rsidRPr="00B475DD" w14:paraId="7A6CAD36" w14:textId="77777777" w:rsidTr="00984BA4">
        <w:tc>
          <w:tcPr>
            <w:tcW w:w="2178" w:type="dxa"/>
            <w:gridSpan w:val="2"/>
            <w:shd w:val="clear" w:color="auto" w:fill="F2F2F2"/>
          </w:tcPr>
          <w:p w14:paraId="06629DFE" w14:textId="77777777" w:rsidR="000E139F" w:rsidRPr="00B475DD" w:rsidRDefault="000E139F" w:rsidP="00984BA4">
            <w:pPr>
              <w:pStyle w:val="Label"/>
            </w:pPr>
            <w:permStart w:id="2051877106" w:edGrp="everyone" w:colFirst="1" w:colLast="1"/>
            <w:permEnd w:id="1391539215"/>
            <w:r>
              <w:t>Years of operation</w:t>
            </w:r>
          </w:p>
        </w:tc>
        <w:tc>
          <w:tcPr>
            <w:tcW w:w="7398" w:type="dxa"/>
            <w:gridSpan w:val="6"/>
          </w:tcPr>
          <w:p w14:paraId="1053D059" w14:textId="77777777" w:rsidR="000E139F" w:rsidRPr="0027673E" w:rsidRDefault="000E139F" w:rsidP="00984BA4">
            <w:pPr>
              <w:rPr>
                <w:lang w:val="en-US"/>
              </w:rPr>
            </w:pPr>
          </w:p>
        </w:tc>
      </w:tr>
      <w:tr w:rsidR="000E139F" w:rsidRPr="00B475DD" w14:paraId="624AF907" w14:textId="77777777" w:rsidTr="00984BA4">
        <w:tc>
          <w:tcPr>
            <w:tcW w:w="2178" w:type="dxa"/>
            <w:gridSpan w:val="2"/>
            <w:shd w:val="clear" w:color="auto" w:fill="F2F2F2"/>
          </w:tcPr>
          <w:p w14:paraId="363DEA60" w14:textId="77777777" w:rsidR="000E139F" w:rsidRPr="00B475DD" w:rsidRDefault="000E139F" w:rsidP="00984BA4">
            <w:pPr>
              <w:pStyle w:val="Label"/>
            </w:pPr>
            <w:permStart w:id="1230191120" w:edGrp="everyone" w:colFirst="1" w:colLast="1"/>
            <w:permEnd w:id="2051877106"/>
            <w:r>
              <w:t>Number of staff</w:t>
            </w:r>
          </w:p>
        </w:tc>
        <w:tc>
          <w:tcPr>
            <w:tcW w:w="7398" w:type="dxa"/>
            <w:gridSpan w:val="6"/>
          </w:tcPr>
          <w:p w14:paraId="00554529" w14:textId="77777777" w:rsidR="000E139F" w:rsidRPr="00B475DD" w:rsidRDefault="000E139F" w:rsidP="00984BA4"/>
        </w:tc>
      </w:tr>
      <w:tr w:rsidR="000E139F" w:rsidRPr="00B475DD" w14:paraId="48B86427" w14:textId="77777777" w:rsidTr="00984BA4">
        <w:tc>
          <w:tcPr>
            <w:tcW w:w="2178" w:type="dxa"/>
            <w:gridSpan w:val="2"/>
            <w:shd w:val="clear" w:color="auto" w:fill="F2F2F2"/>
          </w:tcPr>
          <w:p w14:paraId="71407827" w14:textId="77777777" w:rsidR="000E139F" w:rsidRPr="00B475DD" w:rsidRDefault="000E139F" w:rsidP="00984BA4">
            <w:pPr>
              <w:pStyle w:val="Label"/>
            </w:pPr>
            <w:permStart w:id="288369977" w:edGrp="everyone" w:colFirst="1" w:colLast="1"/>
            <w:permEnd w:id="1230191120"/>
            <w:r>
              <w:t>Areas of specialization and expertise</w:t>
            </w:r>
          </w:p>
        </w:tc>
        <w:tc>
          <w:tcPr>
            <w:tcW w:w="7398" w:type="dxa"/>
            <w:gridSpan w:val="6"/>
          </w:tcPr>
          <w:p w14:paraId="514E6CFF" w14:textId="77777777" w:rsidR="000E139F" w:rsidRPr="00B475DD" w:rsidRDefault="000E139F" w:rsidP="00984BA4"/>
        </w:tc>
      </w:tr>
      <w:permEnd w:id="288369977"/>
      <w:tr w:rsidR="009D197F" w:rsidRPr="00B475DD" w14:paraId="0EEF601E" w14:textId="77777777" w:rsidTr="009D197F">
        <w:tc>
          <w:tcPr>
            <w:tcW w:w="9576" w:type="dxa"/>
            <w:gridSpan w:val="8"/>
            <w:shd w:val="clear" w:color="auto" w:fill="95B3D7" w:themeFill="accent1" w:themeFillTint="99"/>
          </w:tcPr>
          <w:p w14:paraId="64E70D20" w14:textId="77777777" w:rsidR="009D197F" w:rsidRPr="00B475DD" w:rsidRDefault="002A0635" w:rsidP="002A0635">
            <w:pPr>
              <w:spacing w:before="240"/>
              <w:jc w:val="center"/>
            </w:pPr>
            <w:r w:rsidRPr="002A0635">
              <w:rPr>
                <w:b/>
              </w:rPr>
              <w:t>OECD Sourcing Platform</w:t>
            </w:r>
          </w:p>
        </w:tc>
      </w:tr>
      <w:tr w:rsidR="009D197F" w:rsidRPr="00B475DD" w14:paraId="1F018D1E" w14:textId="77777777" w:rsidTr="005433E7">
        <w:tc>
          <w:tcPr>
            <w:tcW w:w="2178" w:type="dxa"/>
            <w:gridSpan w:val="2"/>
            <w:shd w:val="clear" w:color="auto" w:fill="F2F2F2"/>
          </w:tcPr>
          <w:p w14:paraId="10470A0F" w14:textId="77777777" w:rsidR="009D197F" w:rsidRDefault="009D197F" w:rsidP="00984BA4">
            <w:pPr>
              <w:pStyle w:val="Label"/>
            </w:pPr>
            <w:permStart w:id="1549416226" w:edGrp="everyone" w:colFirst="3" w:colLast="3"/>
            <w:permStart w:id="1811093521" w:edGrp="everyone" w:colFirst="1" w:colLast="1"/>
            <w:r>
              <w:t>Registered on the Sourcing Platform of the OECD (YES / NO)</w:t>
            </w:r>
          </w:p>
        </w:tc>
        <w:tc>
          <w:tcPr>
            <w:tcW w:w="2466" w:type="dxa"/>
          </w:tcPr>
          <w:p w14:paraId="1059ACE8" w14:textId="77777777" w:rsidR="009D197F" w:rsidRPr="00B475DD" w:rsidRDefault="009D197F" w:rsidP="00984BA4"/>
        </w:tc>
        <w:tc>
          <w:tcPr>
            <w:tcW w:w="2466" w:type="dxa"/>
            <w:gridSpan w:val="4"/>
          </w:tcPr>
          <w:p w14:paraId="5B4AF062" w14:textId="77777777" w:rsidR="009D197F" w:rsidRPr="00B475DD" w:rsidRDefault="009D197F" w:rsidP="009D197F">
            <w:pPr>
              <w:pStyle w:val="Label"/>
            </w:pPr>
            <w:r>
              <w:t>User ID</w:t>
            </w:r>
          </w:p>
        </w:tc>
        <w:tc>
          <w:tcPr>
            <w:tcW w:w="2466" w:type="dxa"/>
          </w:tcPr>
          <w:p w14:paraId="64F4D0F7" w14:textId="77777777" w:rsidR="009D197F" w:rsidRPr="00B475DD" w:rsidRDefault="009D197F" w:rsidP="00984BA4"/>
        </w:tc>
      </w:tr>
      <w:permEnd w:id="1549416226"/>
      <w:permEnd w:id="1811093521"/>
      <w:tr w:rsidR="004B6EFE" w:rsidRPr="00B475DD" w14:paraId="2F92827A" w14:textId="77777777" w:rsidTr="004B6EFE">
        <w:tc>
          <w:tcPr>
            <w:tcW w:w="9576" w:type="dxa"/>
            <w:gridSpan w:val="8"/>
            <w:shd w:val="clear" w:color="auto" w:fill="95B3D7" w:themeFill="accent1" w:themeFillTint="99"/>
          </w:tcPr>
          <w:p w14:paraId="198F7544" w14:textId="77777777" w:rsidR="004B6EFE" w:rsidRPr="00B475DD" w:rsidRDefault="004B6EFE" w:rsidP="004B6EFE">
            <w:pPr>
              <w:spacing w:before="240"/>
              <w:jc w:val="center"/>
            </w:pPr>
            <w:r w:rsidRPr="004B6EFE">
              <w:rPr>
                <w:b/>
              </w:rPr>
              <w:t>RELEVANT INFORMATIONS FOR THE EOI</w:t>
            </w:r>
          </w:p>
        </w:tc>
      </w:tr>
      <w:tr w:rsidR="000E139F" w:rsidRPr="00B475DD" w14:paraId="398DA4C8" w14:textId="77777777" w:rsidTr="00984BA4">
        <w:tc>
          <w:tcPr>
            <w:tcW w:w="2178" w:type="dxa"/>
            <w:gridSpan w:val="2"/>
            <w:shd w:val="clear" w:color="auto" w:fill="F2F2F2"/>
          </w:tcPr>
          <w:p w14:paraId="22A454D2" w14:textId="77777777" w:rsidR="000E139F" w:rsidRPr="000E139F" w:rsidRDefault="000E139F" w:rsidP="00984BA4">
            <w:pPr>
              <w:pStyle w:val="Label"/>
            </w:pPr>
            <w:permStart w:id="348139983" w:edGrp="everyone" w:colFirst="1" w:colLast="1"/>
            <w:r w:rsidRPr="000E139F">
              <w:t xml:space="preserve">List of projects completed successfully that are identical to or </w:t>
            </w:r>
            <w:r w:rsidRPr="000E139F">
              <w:lastRenderedPageBreak/>
              <w:t xml:space="preserve">similar to those required for this EOI (Name and maximum 50-word description of project only is required at this stage </w:t>
            </w:r>
            <w:r w:rsidR="00FD2830">
              <w:t>–</w:t>
            </w:r>
            <w:r w:rsidRPr="000E139F">
              <w:t xml:space="preserve"> include total cost of project)</w:t>
            </w:r>
          </w:p>
        </w:tc>
        <w:tc>
          <w:tcPr>
            <w:tcW w:w="7398" w:type="dxa"/>
            <w:gridSpan w:val="6"/>
          </w:tcPr>
          <w:p w14:paraId="1556AF3E" w14:textId="77777777" w:rsidR="000E139F" w:rsidRPr="000E139F" w:rsidRDefault="000E139F" w:rsidP="00984BA4">
            <w:pPr>
              <w:rPr>
                <w:lang w:val="en-US"/>
              </w:rPr>
            </w:pPr>
          </w:p>
        </w:tc>
      </w:tr>
      <w:tr w:rsidR="000E139F" w:rsidRPr="00B475DD" w14:paraId="78EBC621" w14:textId="77777777" w:rsidTr="00984BA4">
        <w:tc>
          <w:tcPr>
            <w:tcW w:w="2178" w:type="dxa"/>
            <w:gridSpan w:val="2"/>
            <w:shd w:val="clear" w:color="auto" w:fill="F2F2F2"/>
          </w:tcPr>
          <w:p w14:paraId="09F75C89" w14:textId="77777777" w:rsidR="000E139F" w:rsidRPr="000E139F" w:rsidRDefault="000E139F" w:rsidP="00984BA4">
            <w:pPr>
              <w:pStyle w:val="Label"/>
            </w:pPr>
            <w:permStart w:id="371198552" w:edGrp="everyone" w:colFirst="1" w:colLast="1"/>
            <w:permEnd w:id="348139983"/>
            <w:r w:rsidRPr="000E139F">
              <w:t>List of countries where projects have been undertaken alone or in collaboration with other organisations)</w:t>
            </w:r>
          </w:p>
        </w:tc>
        <w:tc>
          <w:tcPr>
            <w:tcW w:w="7398" w:type="dxa"/>
            <w:gridSpan w:val="6"/>
          </w:tcPr>
          <w:p w14:paraId="71A59902" w14:textId="77777777" w:rsidR="000E139F" w:rsidRPr="00B475DD" w:rsidRDefault="000E139F" w:rsidP="00984BA4"/>
        </w:tc>
      </w:tr>
      <w:tr w:rsidR="000E139F" w:rsidRPr="00B475DD" w14:paraId="12DF39E5" w14:textId="77777777" w:rsidTr="00984BA4">
        <w:tc>
          <w:tcPr>
            <w:tcW w:w="2178" w:type="dxa"/>
            <w:gridSpan w:val="2"/>
            <w:tcBorders>
              <w:bottom w:val="single" w:sz="4" w:space="0" w:color="000000"/>
            </w:tcBorders>
            <w:shd w:val="clear" w:color="auto" w:fill="F2F2F2"/>
          </w:tcPr>
          <w:p w14:paraId="081CC91E" w14:textId="2550896F" w:rsidR="000E139F" w:rsidRPr="000E139F" w:rsidRDefault="000E139F" w:rsidP="00B00C5E">
            <w:pPr>
              <w:pStyle w:val="Label"/>
            </w:pPr>
            <w:permStart w:id="1719731552" w:edGrp="everyone" w:colFirst="1" w:colLast="1"/>
            <w:permEnd w:id="371198552"/>
            <w:r w:rsidRPr="000E139F">
              <w:t>Nominate names and qualifications of key project leaders who might be included in a bid for PISA 202</w:t>
            </w:r>
            <w:r w:rsidR="00B00C5E">
              <w:t>4</w:t>
            </w:r>
            <w:r w:rsidRPr="000E139F">
              <w:t xml:space="preserve"> (do not provide CVs at this stage)</w:t>
            </w:r>
          </w:p>
        </w:tc>
        <w:tc>
          <w:tcPr>
            <w:tcW w:w="7398" w:type="dxa"/>
            <w:gridSpan w:val="6"/>
            <w:tcBorders>
              <w:bottom w:val="single" w:sz="4" w:space="0" w:color="000000"/>
            </w:tcBorders>
          </w:tcPr>
          <w:p w14:paraId="535C3161" w14:textId="77777777" w:rsidR="000E139F" w:rsidRPr="00B475DD" w:rsidRDefault="000E139F" w:rsidP="00984BA4"/>
        </w:tc>
      </w:tr>
      <w:tr w:rsidR="009D197F" w:rsidRPr="00B475DD" w14:paraId="52A1D68D" w14:textId="77777777" w:rsidTr="00984BA4">
        <w:tc>
          <w:tcPr>
            <w:tcW w:w="2178" w:type="dxa"/>
            <w:gridSpan w:val="2"/>
            <w:tcBorders>
              <w:bottom w:val="single" w:sz="4" w:space="0" w:color="000000"/>
            </w:tcBorders>
            <w:shd w:val="clear" w:color="auto" w:fill="F2F2F2"/>
          </w:tcPr>
          <w:p w14:paraId="18BCD000" w14:textId="77777777" w:rsidR="009D197F" w:rsidRPr="000E139F" w:rsidRDefault="009D197F" w:rsidP="00984BA4">
            <w:pPr>
              <w:pStyle w:val="Label"/>
            </w:pPr>
            <w:permStart w:id="25842176" w:edGrp="everyone" w:colFirst="1" w:colLast="1"/>
            <w:permEnd w:id="1719731552"/>
            <w:r>
              <w:t>Additional information</w:t>
            </w:r>
          </w:p>
        </w:tc>
        <w:tc>
          <w:tcPr>
            <w:tcW w:w="7398" w:type="dxa"/>
            <w:gridSpan w:val="6"/>
            <w:tcBorders>
              <w:bottom w:val="single" w:sz="4" w:space="0" w:color="000000"/>
            </w:tcBorders>
          </w:tcPr>
          <w:p w14:paraId="1E844042" w14:textId="77777777" w:rsidR="009D197F" w:rsidRPr="00B475DD" w:rsidRDefault="009D197F" w:rsidP="00984BA4"/>
        </w:tc>
      </w:tr>
      <w:permEnd w:id="25842176"/>
      <w:tr w:rsidR="00FD2830" w:rsidRPr="00B475DD" w14:paraId="37767885" w14:textId="77777777" w:rsidTr="00F34052">
        <w:tc>
          <w:tcPr>
            <w:tcW w:w="2178" w:type="dxa"/>
            <w:gridSpan w:val="2"/>
            <w:tcBorders>
              <w:bottom w:val="single" w:sz="4" w:space="0" w:color="000000"/>
            </w:tcBorders>
            <w:shd w:val="clear" w:color="auto" w:fill="F2F2F2"/>
          </w:tcPr>
          <w:p w14:paraId="25B0D05E" w14:textId="77777777" w:rsidR="00FD2830" w:rsidRPr="00F164CF" w:rsidRDefault="00FD2830" w:rsidP="00F164CF">
            <w:pPr>
              <w:pStyle w:val="Label"/>
              <w:rPr>
                <w:szCs w:val="20"/>
              </w:rPr>
            </w:pPr>
          </w:p>
        </w:tc>
        <w:tc>
          <w:tcPr>
            <w:tcW w:w="2466" w:type="dxa"/>
            <w:tcBorders>
              <w:bottom w:val="single" w:sz="4" w:space="0" w:color="000000"/>
            </w:tcBorders>
          </w:tcPr>
          <w:p w14:paraId="0B366444" w14:textId="77777777" w:rsidR="00FD2830" w:rsidRPr="0099636C" w:rsidRDefault="00FD2830" w:rsidP="00984BA4">
            <w:pPr>
              <w:rPr>
                <w:sz w:val="20"/>
                <w:szCs w:val="20"/>
                <w:lang w:val="en-US"/>
              </w:rPr>
            </w:pPr>
          </w:p>
        </w:tc>
        <w:tc>
          <w:tcPr>
            <w:tcW w:w="2466" w:type="dxa"/>
            <w:gridSpan w:val="4"/>
            <w:tcBorders>
              <w:bottom w:val="single" w:sz="4" w:space="0" w:color="000000"/>
            </w:tcBorders>
          </w:tcPr>
          <w:p w14:paraId="40B14E6F" w14:textId="77777777" w:rsidR="00FD2830" w:rsidRPr="00F164CF" w:rsidRDefault="00FD2830" w:rsidP="00984BA4">
            <w:pPr>
              <w:rPr>
                <w:b/>
                <w:sz w:val="20"/>
                <w:szCs w:val="20"/>
              </w:rPr>
            </w:pPr>
          </w:p>
        </w:tc>
        <w:tc>
          <w:tcPr>
            <w:tcW w:w="2466" w:type="dxa"/>
            <w:tcBorders>
              <w:bottom w:val="single" w:sz="4" w:space="0" w:color="000000"/>
            </w:tcBorders>
          </w:tcPr>
          <w:p w14:paraId="6D1AC7F8" w14:textId="77777777" w:rsidR="00FD2830" w:rsidRPr="00B475DD" w:rsidRDefault="00FD2830" w:rsidP="00984BA4"/>
        </w:tc>
      </w:tr>
      <w:tr w:rsidR="000E139F" w:rsidRPr="00B475DD" w14:paraId="5BFD4A96" w14:textId="77777777" w:rsidTr="009D197F">
        <w:tc>
          <w:tcPr>
            <w:tcW w:w="9576" w:type="dxa"/>
            <w:gridSpan w:val="8"/>
            <w:shd w:val="clear" w:color="auto" w:fill="95B3D7" w:themeFill="accent1" w:themeFillTint="99"/>
          </w:tcPr>
          <w:p w14:paraId="56FA50DE" w14:textId="77777777" w:rsidR="000E139F" w:rsidRPr="00B475DD" w:rsidRDefault="009D197F" w:rsidP="009D197F">
            <w:pPr>
              <w:spacing w:before="240"/>
              <w:jc w:val="center"/>
            </w:pPr>
            <w:r w:rsidRPr="009D197F">
              <w:rPr>
                <w:b/>
              </w:rPr>
              <w:t xml:space="preserve"> MINIMUM GENERAL CONDITIONS FOR OECD CONTRACTS</w:t>
            </w:r>
          </w:p>
        </w:tc>
      </w:tr>
      <w:tr w:rsidR="009D197F" w:rsidRPr="00B475DD" w14:paraId="24587305" w14:textId="77777777" w:rsidTr="009D197F">
        <w:tc>
          <w:tcPr>
            <w:tcW w:w="9576" w:type="dxa"/>
            <w:gridSpan w:val="8"/>
            <w:shd w:val="clear" w:color="auto" w:fill="auto"/>
          </w:tcPr>
          <w:p w14:paraId="79D29AD8" w14:textId="77777777" w:rsidR="009D197F" w:rsidRDefault="009D197F" w:rsidP="009D197F">
            <w:pPr>
              <w:rPr>
                <w:sz w:val="20"/>
                <w:szCs w:val="20"/>
              </w:rPr>
            </w:pPr>
            <w:r>
              <w:rPr>
                <w:sz w:val="20"/>
                <w:szCs w:val="20"/>
              </w:rPr>
              <w:t>Please acknowledge the Minimum General Conditions for OECD contracts</w:t>
            </w:r>
          </w:p>
          <w:p w14:paraId="1F233296" w14:textId="1C3FC534" w:rsidR="009F4BA2" w:rsidRPr="009D197F" w:rsidRDefault="009F4BA2" w:rsidP="009D197F">
            <w:pPr>
              <w:rPr>
                <w:sz w:val="20"/>
                <w:szCs w:val="20"/>
              </w:rPr>
            </w:pPr>
          </w:p>
        </w:tc>
      </w:tr>
      <w:permStart w:id="1153238384" w:edGrp="everyone" w:colFirst="0" w:colLast="0"/>
      <w:tr w:rsidR="000E139F" w:rsidRPr="00B475DD" w14:paraId="58A5CCCB" w14:textId="77777777" w:rsidTr="00984BA4">
        <w:tc>
          <w:tcPr>
            <w:tcW w:w="9576" w:type="dxa"/>
            <w:gridSpan w:val="8"/>
          </w:tcPr>
          <w:p w14:paraId="70414814" w14:textId="6C517BA7" w:rsidR="000E139F" w:rsidRDefault="000E412E" w:rsidP="00984BA4">
            <w:pPr>
              <w:rPr>
                <w:sz w:val="20"/>
                <w:szCs w:val="20"/>
              </w:rPr>
            </w:pPr>
            <w:r>
              <w:rPr>
                <w:sz w:val="20"/>
                <w:szCs w:val="20"/>
              </w:rPr>
              <w:object w:dxaOrig="1534" w:dyaOrig="994" w14:anchorId="18F046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05pt;height:49.55pt" o:ole="">
                  <v:imagedata r:id="rId16" o:title=""/>
                </v:shape>
                <o:OLEObject Type="Embed" ProgID="Acrobat.Document.DC" ShapeID="_x0000_i1025" DrawAspect="Icon" ObjectID="_1617797759" r:id="rId17"/>
              </w:object>
            </w:r>
          </w:p>
          <w:p w14:paraId="13770920" w14:textId="77777777" w:rsidR="00AE2F0B" w:rsidRPr="00CC13D5" w:rsidRDefault="00AE2F0B" w:rsidP="00117380">
            <w:pPr>
              <w:rPr>
                <w:sz w:val="20"/>
                <w:szCs w:val="20"/>
              </w:rPr>
            </w:pPr>
            <w:r>
              <w:rPr>
                <w:sz w:val="20"/>
                <w:szCs w:val="20"/>
              </w:rPr>
              <w:t>[</w:t>
            </w:r>
            <w:r w:rsidR="00117380">
              <w:rPr>
                <w:sz w:val="20"/>
                <w:szCs w:val="20"/>
              </w:rPr>
              <w:t xml:space="preserve">Double </w:t>
            </w:r>
            <w:r>
              <w:rPr>
                <w:sz w:val="20"/>
                <w:szCs w:val="20"/>
              </w:rPr>
              <w:t>click on the document]</w:t>
            </w:r>
          </w:p>
        </w:tc>
      </w:tr>
      <w:permEnd w:id="1153238384"/>
      <w:tr w:rsidR="009D197F" w:rsidRPr="00B475DD" w14:paraId="1B10B29B" w14:textId="77777777" w:rsidTr="002A0635">
        <w:tc>
          <w:tcPr>
            <w:tcW w:w="9576" w:type="dxa"/>
            <w:gridSpan w:val="8"/>
            <w:shd w:val="clear" w:color="auto" w:fill="95B3D7" w:themeFill="accent1" w:themeFillTint="99"/>
          </w:tcPr>
          <w:p w14:paraId="6BAE5C1D" w14:textId="77777777" w:rsidR="009D197F" w:rsidRDefault="009D197F" w:rsidP="00984BA4">
            <w:pPr>
              <w:rPr>
                <w:sz w:val="20"/>
                <w:szCs w:val="20"/>
              </w:rPr>
            </w:pPr>
          </w:p>
        </w:tc>
      </w:tr>
      <w:tr w:rsidR="000E139F" w:rsidRPr="00B475DD" w14:paraId="07C87BFE" w14:textId="77777777" w:rsidTr="00984BA4">
        <w:tc>
          <w:tcPr>
            <w:tcW w:w="1818" w:type="dxa"/>
            <w:shd w:val="clear" w:color="auto" w:fill="F2F2F2"/>
          </w:tcPr>
          <w:p w14:paraId="6AA0B7B4" w14:textId="77777777" w:rsidR="000E139F" w:rsidRPr="009D197F" w:rsidRDefault="009D197F" w:rsidP="00984BA4">
            <w:pPr>
              <w:rPr>
                <w:b/>
                <w:sz w:val="20"/>
              </w:rPr>
            </w:pPr>
            <w:permStart w:id="1483687779" w:edGrp="everyone" w:colFirst="3" w:colLast="3"/>
            <w:permStart w:id="1394042041" w:edGrp="everyone" w:colFirst="1" w:colLast="1"/>
            <w:r w:rsidRPr="009D197F">
              <w:rPr>
                <w:b/>
                <w:sz w:val="20"/>
              </w:rPr>
              <w:t>Name and title:</w:t>
            </w:r>
          </w:p>
        </w:tc>
        <w:tc>
          <w:tcPr>
            <w:tcW w:w="3330" w:type="dxa"/>
            <w:gridSpan w:val="3"/>
          </w:tcPr>
          <w:p w14:paraId="32B4549A" w14:textId="77777777" w:rsidR="000E139F" w:rsidRPr="009D197F" w:rsidRDefault="000E139F" w:rsidP="00984BA4">
            <w:pPr>
              <w:rPr>
                <w:sz w:val="20"/>
              </w:rPr>
            </w:pPr>
          </w:p>
        </w:tc>
        <w:tc>
          <w:tcPr>
            <w:tcW w:w="1620" w:type="dxa"/>
            <w:shd w:val="clear" w:color="auto" w:fill="F2F2F2"/>
          </w:tcPr>
          <w:p w14:paraId="4B1E541D" w14:textId="77777777" w:rsidR="000E139F" w:rsidRPr="009D197F" w:rsidRDefault="000E139F" w:rsidP="00984BA4">
            <w:pPr>
              <w:rPr>
                <w:b/>
                <w:sz w:val="20"/>
              </w:rPr>
            </w:pPr>
            <w:r w:rsidRPr="009D197F">
              <w:rPr>
                <w:b/>
                <w:sz w:val="20"/>
              </w:rPr>
              <w:t>Date:</w:t>
            </w:r>
          </w:p>
        </w:tc>
        <w:tc>
          <w:tcPr>
            <w:tcW w:w="2808" w:type="dxa"/>
            <w:gridSpan w:val="3"/>
          </w:tcPr>
          <w:p w14:paraId="658DB0E7" w14:textId="77777777" w:rsidR="000E139F" w:rsidRPr="009D197F" w:rsidRDefault="000E139F" w:rsidP="00984BA4">
            <w:pPr>
              <w:rPr>
                <w:sz w:val="20"/>
              </w:rPr>
            </w:pPr>
          </w:p>
        </w:tc>
      </w:tr>
      <w:permEnd w:id="1483687779"/>
      <w:permEnd w:id="1394042041"/>
    </w:tbl>
    <w:p w14:paraId="31496C3B" w14:textId="77777777" w:rsidR="000E139F" w:rsidRDefault="000E139F" w:rsidP="000E139F"/>
    <w:p w14:paraId="68C9ECAC" w14:textId="77777777" w:rsidR="00AE2F0B" w:rsidRDefault="00AE2F0B" w:rsidP="000E139F"/>
    <w:p w14:paraId="25896923" w14:textId="77777777" w:rsidR="007035AB" w:rsidRDefault="007035AB" w:rsidP="000E139F"/>
    <w:p w14:paraId="239337B6" w14:textId="77777777" w:rsidR="007035AB" w:rsidRDefault="007035AB" w:rsidP="000E139F"/>
    <w:p w14:paraId="61CD0C58" w14:textId="77777777" w:rsidR="007035AB" w:rsidRDefault="007035AB" w:rsidP="000E139F"/>
    <w:p w14:paraId="125F73E6" w14:textId="77777777" w:rsidR="002577A2" w:rsidRDefault="002577A2" w:rsidP="000E139F"/>
    <w:p w14:paraId="72EDEF8E" w14:textId="77777777" w:rsidR="007035AB" w:rsidRDefault="007035AB" w:rsidP="000E139F"/>
    <w:p w14:paraId="2D0C12D9" w14:textId="77777777" w:rsidR="007035AB" w:rsidRDefault="007035AB" w:rsidP="000E139F"/>
    <w:p w14:paraId="433BD6D7" w14:textId="77777777" w:rsidR="007035AB" w:rsidRDefault="007035AB" w:rsidP="000E139F"/>
    <w:p w14:paraId="69ADBEEF" w14:textId="77777777" w:rsidR="007035AB" w:rsidRDefault="007035AB" w:rsidP="000E139F"/>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64163F" w:rsidRPr="000E139F" w14:paraId="38F096B4" w14:textId="77777777" w:rsidTr="00984BA4">
        <w:tc>
          <w:tcPr>
            <w:tcW w:w="9576" w:type="dxa"/>
            <w:tcBorders>
              <w:top w:val="single" w:sz="4" w:space="0" w:color="000000"/>
              <w:left w:val="single" w:sz="4" w:space="0" w:color="000000"/>
              <w:bottom w:val="single" w:sz="4" w:space="0" w:color="000000"/>
              <w:right w:val="single" w:sz="4" w:space="0" w:color="000000"/>
            </w:tcBorders>
            <w:shd w:val="clear" w:color="auto" w:fill="FF7979"/>
          </w:tcPr>
          <w:p w14:paraId="4982C5F1" w14:textId="77777777" w:rsidR="0064163F" w:rsidRPr="000E139F" w:rsidRDefault="0064163F" w:rsidP="00984BA4">
            <w:pPr>
              <w:spacing w:before="240"/>
              <w:jc w:val="center"/>
              <w:rPr>
                <w:b/>
              </w:rPr>
            </w:pPr>
            <w:r>
              <w:rPr>
                <w:b/>
              </w:rPr>
              <w:t>PREREQUISITES OF ELIGIBILITY</w:t>
            </w:r>
          </w:p>
        </w:tc>
      </w:tr>
      <w:tr w:rsidR="0064163F" w:rsidRPr="00B475DD" w14:paraId="63E5AE90" w14:textId="77777777" w:rsidTr="00984BA4">
        <w:tc>
          <w:tcPr>
            <w:tcW w:w="9576" w:type="dxa"/>
            <w:shd w:val="clear" w:color="auto" w:fill="F2F2F2"/>
          </w:tcPr>
          <w:p w14:paraId="00D23D4E" w14:textId="77777777" w:rsidR="0064163F" w:rsidRPr="0064163F" w:rsidRDefault="0064163F" w:rsidP="0064163F">
            <w:pPr>
              <w:tabs>
                <w:tab w:val="left" w:pos="6804"/>
              </w:tabs>
              <w:rPr>
                <w:b/>
                <w:sz w:val="20"/>
                <w:szCs w:val="20"/>
                <w:lang w:val="en-US"/>
              </w:rPr>
            </w:pPr>
            <w:r w:rsidRPr="0064163F">
              <w:rPr>
                <w:rFonts w:cs="ArialMT"/>
                <w:sz w:val="20"/>
                <w:szCs w:val="20"/>
              </w:rPr>
              <w:t xml:space="preserve">In order to be eligible for participating to the Call for Tenders launched by the OECD, </w:t>
            </w:r>
            <w:r w:rsidRPr="0064163F">
              <w:rPr>
                <w:color w:val="000000"/>
                <w:spacing w:val="-2"/>
                <w:sz w:val="20"/>
                <w:szCs w:val="20"/>
              </w:rPr>
              <w:t xml:space="preserve">the Tenderer </w:t>
            </w:r>
            <w:r w:rsidRPr="0064163F">
              <w:rPr>
                <w:rFonts w:cs="ArialMT"/>
                <w:sz w:val="20"/>
                <w:szCs w:val="20"/>
              </w:rPr>
              <w:t>must declare that:</w:t>
            </w:r>
            <w:r w:rsidRPr="0064163F">
              <w:rPr>
                <w:b/>
                <w:sz w:val="20"/>
                <w:szCs w:val="20"/>
                <w:lang w:val="en-US"/>
              </w:rPr>
              <w:t xml:space="preserve"> </w:t>
            </w:r>
          </w:p>
          <w:p w14:paraId="1C867882" w14:textId="77777777" w:rsidR="0064163F" w:rsidRPr="0064163F" w:rsidRDefault="0064163F" w:rsidP="0064163F">
            <w:pPr>
              <w:pStyle w:val="ListParagraph"/>
              <w:numPr>
                <w:ilvl w:val="0"/>
                <w:numId w:val="13"/>
              </w:numPr>
              <w:tabs>
                <w:tab w:val="left" w:pos="850"/>
                <w:tab w:val="left" w:pos="1191"/>
                <w:tab w:val="left" w:pos="1531"/>
              </w:tabs>
              <w:autoSpaceDE w:val="0"/>
              <w:autoSpaceDN w:val="0"/>
              <w:adjustRightInd w:val="0"/>
              <w:spacing w:after="0" w:line="240" w:lineRule="auto"/>
              <w:jc w:val="both"/>
              <w:rPr>
                <w:sz w:val="20"/>
                <w:szCs w:val="20"/>
                <w:lang w:val="en-US"/>
              </w:rPr>
            </w:pPr>
            <w:r w:rsidRPr="0064163F">
              <w:rPr>
                <w:sz w:val="20"/>
                <w:szCs w:val="20"/>
                <w:lang w:val="en-US"/>
              </w:rPr>
              <w:t>That it is not bankrupt or being wound up, is not having its affairs administered by the courts, has not entered into an arrangement with creditors, has not suspended business activities, is not the subject of proceedings concerning those matters, and is not in any analogous situation arising from a similar procedure provided for in national legislation or regulations;</w:t>
            </w:r>
          </w:p>
          <w:p w14:paraId="6DC9DC48" w14:textId="77777777" w:rsidR="0064163F" w:rsidRPr="0064163F" w:rsidRDefault="0064163F" w:rsidP="0064163F">
            <w:pPr>
              <w:autoSpaceDE w:val="0"/>
              <w:autoSpaceDN w:val="0"/>
              <w:adjustRightInd w:val="0"/>
              <w:rPr>
                <w:sz w:val="20"/>
                <w:szCs w:val="20"/>
                <w:lang w:val="en-US"/>
              </w:rPr>
            </w:pPr>
          </w:p>
          <w:p w14:paraId="74149F51" w14:textId="77777777" w:rsidR="0064163F" w:rsidRPr="0064163F" w:rsidRDefault="0064163F" w:rsidP="0064163F">
            <w:pPr>
              <w:pStyle w:val="ListParagraph"/>
              <w:numPr>
                <w:ilvl w:val="0"/>
                <w:numId w:val="13"/>
              </w:numPr>
              <w:tabs>
                <w:tab w:val="left" w:pos="850"/>
                <w:tab w:val="left" w:pos="1191"/>
                <w:tab w:val="left" w:pos="1531"/>
              </w:tabs>
              <w:autoSpaceDE w:val="0"/>
              <w:autoSpaceDN w:val="0"/>
              <w:adjustRightInd w:val="0"/>
              <w:spacing w:after="0" w:line="240" w:lineRule="auto"/>
              <w:jc w:val="both"/>
              <w:rPr>
                <w:sz w:val="20"/>
                <w:szCs w:val="20"/>
                <w:lang w:val="en-US"/>
              </w:rPr>
            </w:pPr>
            <w:r w:rsidRPr="0064163F">
              <w:rPr>
                <w:sz w:val="20"/>
                <w:szCs w:val="20"/>
                <w:lang w:val="en-US"/>
              </w:rPr>
              <w:t xml:space="preserve">That it has not been convicted of an offence concerning its professional conduct by a judgment which has the force of </w:t>
            </w:r>
            <w:r w:rsidRPr="0064163F">
              <w:rPr>
                <w:i/>
                <w:iCs/>
                <w:sz w:val="20"/>
                <w:szCs w:val="20"/>
                <w:lang w:val="en-US"/>
              </w:rPr>
              <w:t>res judicata</w:t>
            </w:r>
            <w:r w:rsidRPr="0064163F">
              <w:rPr>
                <w:sz w:val="20"/>
                <w:szCs w:val="20"/>
                <w:lang w:val="en-US"/>
              </w:rPr>
              <w:t>;</w:t>
            </w:r>
          </w:p>
          <w:p w14:paraId="5630D0E6" w14:textId="77777777" w:rsidR="0064163F" w:rsidRPr="0064163F" w:rsidRDefault="0064163F" w:rsidP="0064163F">
            <w:pPr>
              <w:autoSpaceDE w:val="0"/>
              <w:autoSpaceDN w:val="0"/>
              <w:adjustRightInd w:val="0"/>
              <w:rPr>
                <w:sz w:val="20"/>
                <w:szCs w:val="20"/>
                <w:lang w:val="en-US"/>
              </w:rPr>
            </w:pPr>
          </w:p>
          <w:p w14:paraId="29CAE5BE" w14:textId="77777777" w:rsidR="0064163F" w:rsidRPr="0064163F" w:rsidRDefault="0064163F" w:rsidP="0064163F">
            <w:pPr>
              <w:pStyle w:val="ListParagraph"/>
              <w:numPr>
                <w:ilvl w:val="0"/>
                <w:numId w:val="13"/>
              </w:numPr>
              <w:tabs>
                <w:tab w:val="left" w:pos="850"/>
                <w:tab w:val="left" w:pos="1191"/>
                <w:tab w:val="left" w:pos="1531"/>
              </w:tabs>
              <w:autoSpaceDE w:val="0"/>
              <w:autoSpaceDN w:val="0"/>
              <w:adjustRightInd w:val="0"/>
              <w:spacing w:after="0" w:line="240" w:lineRule="auto"/>
              <w:jc w:val="both"/>
              <w:rPr>
                <w:sz w:val="20"/>
                <w:szCs w:val="20"/>
                <w:lang w:val="en-US"/>
              </w:rPr>
            </w:pPr>
            <w:r w:rsidRPr="0064163F">
              <w:rPr>
                <w:sz w:val="20"/>
                <w:szCs w:val="20"/>
                <w:lang w:val="en-US"/>
              </w:rPr>
              <w:t xml:space="preserve">That it has not been the subject of a judgment which has the force of </w:t>
            </w:r>
            <w:r w:rsidRPr="0064163F">
              <w:rPr>
                <w:i/>
                <w:iCs/>
                <w:sz w:val="20"/>
                <w:szCs w:val="20"/>
                <w:lang w:val="en-US"/>
              </w:rPr>
              <w:t xml:space="preserve">res judicata </w:t>
            </w:r>
            <w:r w:rsidRPr="0064163F">
              <w:rPr>
                <w:sz w:val="20"/>
                <w:szCs w:val="20"/>
                <w:lang w:val="en-US"/>
              </w:rPr>
              <w:t>for fraud, corruption, involvement in a criminal organisation or any other illegal activity detrimental to the interests or reputation of the OECD, its members or its donors;</w:t>
            </w:r>
          </w:p>
          <w:p w14:paraId="67DC69DC" w14:textId="77777777" w:rsidR="0064163F" w:rsidRPr="0064163F" w:rsidRDefault="0064163F" w:rsidP="0064163F">
            <w:pPr>
              <w:autoSpaceDE w:val="0"/>
              <w:autoSpaceDN w:val="0"/>
              <w:adjustRightInd w:val="0"/>
              <w:rPr>
                <w:sz w:val="20"/>
                <w:szCs w:val="20"/>
                <w:lang w:val="en-US"/>
              </w:rPr>
            </w:pPr>
          </w:p>
          <w:p w14:paraId="0DD613D6" w14:textId="77777777" w:rsidR="0064163F" w:rsidRPr="0064163F" w:rsidRDefault="0064163F" w:rsidP="0064163F">
            <w:pPr>
              <w:pStyle w:val="ListParagraph"/>
              <w:numPr>
                <w:ilvl w:val="0"/>
                <w:numId w:val="13"/>
              </w:numPr>
              <w:tabs>
                <w:tab w:val="left" w:pos="850"/>
                <w:tab w:val="left" w:pos="1191"/>
                <w:tab w:val="left" w:pos="1531"/>
              </w:tabs>
              <w:autoSpaceDE w:val="0"/>
              <w:autoSpaceDN w:val="0"/>
              <w:adjustRightInd w:val="0"/>
              <w:spacing w:after="0" w:line="240" w:lineRule="auto"/>
              <w:jc w:val="both"/>
              <w:rPr>
                <w:sz w:val="20"/>
                <w:szCs w:val="20"/>
                <w:lang w:val="en-US"/>
              </w:rPr>
            </w:pPr>
            <w:r w:rsidRPr="0064163F">
              <w:rPr>
                <w:sz w:val="20"/>
                <w:szCs w:val="20"/>
                <w:lang w:val="en-US"/>
              </w:rPr>
              <w:t>That it is not guilty of misrepresentation in supplying the information required as a condition of participation in this call for Tenders or fail to supply this information;</w:t>
            </w:r>
          </w:p>
          <w:p w14:paraId="68C3B655" w14:textId="77777777" w:rsidR="0064163F" w:rsidRPr="0064163F" w:rsidRDefault="0064163F" w:rsidP="0064163F">
            <w:pPr>
              <w:autoSpaceDE w:val="0"/>
              <w:autoSpaceDN w:val="0"/>
              <w:adjustRightInd w:val="0"/>
              <w:ind w:firstLine="60"/>
              <w:rPr>
                <w:sz w:val="20"/>
                <w:szCs w:val="20"/>
                <w:lang w:val="en-US"/>
              </w:rPr>
            </w:pPr>
          </w:p>
          <w:p w14:paraId="3736C08F" w14:textId="77777777" w:rsidR="0064163F" w:rsidRPr="0064163F" w:rsidRDefault="0064163F" w:rsidP="0064163F">
            <w:pPr>
              <w:pStyle w:val="ListParagraph"/>
              <w:numPr>
                <w:ilvl w:val="0"/>
                <w:numId w:val="13"/>
              </w:numPr>
              <w:tabs>
                <w:tab w:val="left" w:pos="850"/>
                <w:tab w:val="left" w:pos="1191"/>
                <w:tab w:val="left" w:pos="1531"/>
              </w:tabs>
              <w:autoSpaceDE w:val="0"/>
              <w:autoSpaceDN w:val="0"/>
              <w:adjustRightInd w:val="0"/>
              <w:spacing w:after="0" w:line="240" w:lineRule="auto"/>
              <w:jc w:val="both"/>
              <w:rPr>
                <w:sz w:val="20"/>
                <w:szCs w:val="20"/>
                <w:lang w:val="en-US"/>
              </w:rPr>
            </w:pPr>
            <w:r w:rsidRPr="0064163F">
              <w:rPr>
                <w:sz w:val="20"/>
                <w:szCs w:val="20"/>
                <w:lang w:val="en-US"/>
              </w:rPr>
              <w:t>That it is not subject to a conflict of interest;</w:t>
            </w:r>
          </w:p>
          <w:p w14:paraId="4A85F415" w14:textId="77777777" w:rsidR="0064163F" w:rsidRPr="0064163F" w:rsidRDefault="0064163F" w:rsidP="0064163F">
            <w:pPr>
              <w:autoSpaceDE w:val="0"/>
              <w:autoSpaceDN w:val="0"/>
              <w:adjustRightInd w:val="0"/>
              <w:rPr>
                <w:sz w:val="20"/>
                <w:szCs w:val="20"/>
                <w:lang w:val="en-US"/>
              </w:rPr>
            </w:pPr>
          </w:p>
          <w:p w14:paraId="0FF1A412" w14:textId="77777777" w:rsidR="0064163F" w:rsidRDefault="0064163F" w:rsidP="0064163F">
            <w:pPr>
              <w:pStyle w:val="ListParagraph"/>
              <w:numPr>
                <w:ilvl w:val="0"/>
                <w:numId w:val="13"/>
              </w:numPr>
              <w:tabs>
                <w:tab w:val="left" w:pos="850"/>
                <w:tab w:val="left" w:pos="1191"/>
                <w:tab w:val="left" w:pos="1531"/>
              </w:tabs>
              <w:autoSpaceDE w:val="0"/>
              <w:autoSpaceDN w:val="0"/>
              <w:adjustRightInd w:val="0"/>
              <w:spacing w:after="0" w:line="240" w:lineRule="auto"/>
              <w:jc w:val="both"/>
              <w:rPr>
                <w:sz w:val="20"/>
                <w:szCs w:val="20"/>
                <w:lang w:val="en-US"/>
              </w:rPr>
            </w:pPr>
            <w:r w:rsidRPr="0064163F">
              <w:rPr>
                <w:sz w:val="20"/>
                <w:szCs w:val="20"/>
                <w:lang w:val="en-US"/>
              </w:rPr>
              <w:t xml:space="preserve">That its employees and any person involved in the execution of the work to be performed under the present Call for Tenders are regularly employed according to national laws to which it is subject and that it fully complies with laws and regulations in force in terms of social security and labor law; </w:t>
            </w:r>
          </w:p>
          <w:p w14:paraId="4430033B" w14:textId="77777777" w:rsidR="0064163F" w:rsidRPr="0064163F" w:rsidRDefault="0064163F" w:rsidP="0064163F">
            <w:pPr>
              <w:autoSpaceDE w:val="0"/>
              <w:autoSpaceDN w:val="0"/>
              <w:adjustRightInd w:val="0"/>
              <w:rPr>
                <w:sz w:val="20"/>
                <w:szCs w:val="20"/>
                <w:lang w:val="en-US"/>
              </w:rPr>
            </w:pPr>
          </w:p>
          <w:p w14:paraId="00F8CD39" w14:textId="77777777" w:rsidR="0064163F" w:rsidRPr="0064163F" w:rsidRDefault="0064163F" w:rsidP="0064163F">
            <w:pPr>
              <w:pStyle w:val="ListParagraph"/>
              <w:numPr>
                <w:ilvl w:val="0"/>
                <w:numId w:val="13"/>
              </w:numPr>
              <w:tabs>
                <w:tab w:val="left" w:pos="850"/>
                <w:tab w:val="left" w:pos="1191"/>
                <w:tab w:val="left" w:pos="1531"/>
              </w:tabs>
              <w:autoSpaceDE w:val="0"/>
              <w:autoSpaceDN w:val="0"/>
              <w:adjustRightInd w:val="0"/>
              <w:spacing w:after="0" w:line="240" w:lineRule="auto"/>
              <w:jc w:val="both"/>
              <w:rPr>
                <w:sz w:val="20"/>
                <w:szCs w:val="20"/>
                <w:lang w:val="en-US"/>
              </w:rPr>
            </w:pPr>
            <w:r w:rsidRPr="0064163F">
              <w:rPr>
                <w:sz w:val="20"/>
                <w:szCs w:val="20"/>
              </w:rPr>
              <w:t>That it has not granted and will not grant, has not sought and will not seek, has not attempted and will not attempt to obtain, and has not accepted and will not accept any advantage, financial or in kind, to or from any party whatsoever, constituting an illegal practice or involving corruption, either directly or indirectly, as an incentive or reward relating to the award or the execution of the Contract</w:t>
            </w:r>
            <w:r w:rsidRPr="0064163F">
              <w:rPr>
                <w:sz w:val="20"/>
                <w:szCs w:val="20"/>
                <w:lang w:val="en-US"/>
              </w:rPr>
              <w:t>.</w:t>
            </w:r>
          </w:p>
        </w:tc>
      </w:tr>
    </w:tbl>
    <w:p w14:paraId="7D66C69E" w14:textId="77777777" w:rsidR="007035AB" w:rsidRPr="0064163F" w:rsidRDefault="007035AB" w:rsidP="0064163F">
      <w:pPr>
        <w:tabs>
          <w:tab w:val="left" w:pos="850"/>
          <w:tab w:val="left" w:pos="1191"/>
          <w:tab w:val="left" w:pos="1531"/>
        </w:tabs>
        <w:autoSpaceDE w:val="0"/>
        <w:autoSpaceDN w:val="0"/>
        <w:adjustRightInd w:val="0"/>
        <w:spacing w:after="0" w:line="240" w:lineRule="auto"/>
        <w:jc w:val="both"/>
        <w:rPr>
          <w:lang w:val="en-US"/>
        </w:rPr>
      </w:pPr>
    </w:p>
    <w:p w14:paraId="6ADE8DD0" w14:textId="77777777" w:rsidR="007035AB" w:rsidRPr="00594CA7" w:rsidRDefault="007035AB" w:rsidP="000E139F">
      <w:pPr>
        <w:rPr>
          <w:lang w:val="en-US"/>
        </w:rPr>
      </w:pPr>
    </w:p>
    <w:sectPr w:rsidR="007035AB" w:rsidRPr="00594CA7">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B6C73" w14:textId="77777777" w:rsidR="002916D5" w:rsidRDefault="002916D5" w:rsidP="004742F7">
      <w:pPr>
        <w:spacing w:after="0" w:line="240" w:lineRule="auto"/>
      </w:pPr>
      <w:r>
        <w:separator/>
      </w:r>
    </w:p>
  </w:endnote>
  <w:endnote w:type="continuationSeparator" w:id="0">
    <w:p w14:paraId="196E6692" w14:textId="77777777" w:rsidR="002916D5" w:rsidRDefault="002916D5" w:rsidP="00474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578528"/>
      <w:docPartObj>
        <w:docPartGallery w:val="Page Numbers (Bottom of Page)"/>
        <w:docPartUnique/>
      </w:docPartObj>
    </w:sdtPr>
    <w:sdtEndPr>
      <w:rPr>
        <w:noProof/>
      </w:rPr>
    </w:sdtEndPr>
    <w:sdtContent>
      <w:p w14:paraId="5F93676B" w14:textId="0D1CE0DC" w:rsidR="00573199" w:rsidRDefault="00573199">
        <w:pPr>
          <w:pStyle w:val="Footer"/>
          <w:jc w:val="center"/>
        </w:pPr>
        <w:r>
          <w:fldChar w:fldCharType="begin"/>
        </w:r>
        <w:r>
          <w:instrText xml:space="preserve"> PAGE   \* MERGEFORMAT </w:instrText>
        </w:r>
        <w:r>
          <w:fldChar w:fldCharType="separate"/>
        </w:r>
        <w:r w:rsidR="006D212E">
          <w:rPr>
            <w:noProof/>
          </w:rPr>
          <w:t>9</w:t>
        </w:r>
        <w:r>
          <w:rPr>
            <w:noProof/>
          </w:rPr>
          <w:fldChar w:fldCharType="end"/>
        </w:r>
      </w:p>
    </w:sdtContent>
  </w:sdt>
  <w:p w14:paraId="34F36B62" w14:textId="77777777" w:rsidR="00573199" w:rsidRDefault="00573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33166" w14:textId="77777777" w:rsidR="002916D5" w:rsidRDefault="002916D5" w:rsidP="004742F7">
      <w:pPr>
        <w:spacing w:after="0" w:line="240" w:lineRule="auto"/>
      </w:pPr>
      <w:r>
        <w:separator/>
      </w:r>
    </w:p>
  </w:footnote>
  <w:footnote w:type="continuationSeparator" w:id="0">
    <w:p w14:paraId="21AB32F7" w14:textId="77777777" w:rsidR="002916D5" w:rsidRDefault="002916D5" w:rsidP="00474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E92F" w14:textId="77777777" w:rsidR="00457967" w:rsidRDefault="00457967" w:rsidP="00457967">
    <w:pPr>
      <w:pStyle w:val="Header"/>
      <w:jc w:val="center"/>
    </w:pPr>
    <w:r w:rsidRPr="00B5627E">
      <w:rPr>
        <w:noProof/>
        <w:sz w:val="18"/>
      </w:rPr>
      <w:drawing>
        <wp:inline distT="0" distB="0" distL="0" distR="0" wp14:anchorId="22B20087" wp14:editId="21CB0047">
          <wp:extent cx="2030302" cy="629108"/>
          <wp:effectExtent l="0" t="0" r="0" b="0"/>
          <wp:docPr id="4" name="Picture 0" descr="OECD_TEXT_1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CD_TEXT_10cm.JPG"/>
                  <pic:cNvPicPr/>
                </pic:nvPicPr>
                <pic:blipFill>
                  <a:blip r:embed="rId1"/>
                  <a:stretch>
                    <a:fillRect/>
                  </a:stretch>
                </pic:blipFill>
                <pic:spPr>
                  <a:xfrm>
                    <a:off x="0" y="0"/>
                    <a:ext cx="2034658" cy="6304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16C"/>
    <w:multiLevelType w:val="hybridMultilevel"/>
    <w:tmpl w:val="D9869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9C73B8"/>
    <w:multiLevelType w:val="hybridMultilevel"/>
    <w:tmpl w:val="4C7816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41B6D"/>
    <w:multiLevelType w:val="hybridMultilevel"/>
    <w:tmpl w:val="ADD2BFD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7464989"/>
    <w:multiLevelType w:val="hybridMultilevel"/>
    <w:tmpl w:val="A1721552"/>
    <w:lvl w:ilvl="0" w:tplc="363886FC">
      <w:start w:val="1"/>
      <w:numFmt w:val="upperLetter"/>
      <w:lvlText w:val="General Area %1."/>
      <w:lvlJc w:val="right"/>
      <w:pPr>
        <w:ind w:left="180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784A97"/>
    <w:multiLevelType w:val="hybridMultilevel"/>
    <w:tmpl w:val="ACF4BD1C"/>
    <w:lvl w:ilvl="0" w:tplc="08090017">
      <w:start w:val="1"/>
      <w:numFmt w:val="lowerLetter"/>
      <w:lvlText w:val="%1)"/>
      <w:lvlJc w:val="left"/>
      <w:pPr>
        <w:ind w:left="-20" w:hanging="360"/>
      </w:pPr>
      <w:rPr>
        <w:rFonts w:hint="default"/>
      </w:rPr>
    </w:lvl>
    <w:lvl w:ilvl="1" w:tplc="08090019" w:tentative="1">
      <w:start w:val="1"/>
      <w:numFmt w:val="lowerLetter"/>
      <w:lvlText w:val="%2."/>
      <w:lvlJc w:val="left"/>
      <w:pPr>
        <w:ind w:left="700" w:hanging="360"/>
      </w:pPr>
    </w:lvl>
    <w:lvl w:ilvl="2" w:tplc="0809001B" w:tentative="1">
      <w:start w:val="1"/>
      <w:numFmt w:val="lowerRoman"/>
      <w:lvlText w:val="%3."/>
      <w:lvlJc w:val="right"/>
      <w:pPr>
        <w:ind w:left="1420" w:hanging="180"/>
      </w:pPr>
    </w:lvl>
    <w:lvl w:ilvl="3" w:tplc="0809000F" w:tentative="1">
      <w:start w:val="1"/>
      <w:numFmt w:val="decimal"/>
      <w:lvlText w:val="%4."/>
      <w:lvlJc w:val="left"/>
      <w:pPr>
        <w:ind w:left="2140" w:hanging="360"/>
      </w:pPr>
    </w:lvl>
    <w:lvl w:ilvl="4" w:tplc="08090019" w:tentative="1">
      <w:start w:val="1"/>
      <w:numFmt w:val="lowerLetter"/>
      <w:lvlText w:val="%5."/>
      <w:lvlJc w:val="left"/>
      <w:pPr>
        <w:ind w:left="2860" w:hanging="360"/>
      </w:pPr>
    </w:lvl>
    <w:lvl w:ilvl="5" w:tplc="0809001B" w:tentative="1">
      <w:start w:val="1"/>
      <w:numFmt w:val="lowerRoman"/>
      <w:lvlText w:val="%6."/>
      <w:lvlJc w:val="right"/>
      <w:pPr>
        <w:ind w:left="3580" w:hanging="180"/>
      </w:pPr>
    </w:lvl>
    <w:lvl w:ilvl="6" w:tplc="0809000F" w:tentative="1">
      <w:start w:val="1"/>
      <w:numFmt w:val="decimal"/>
      <w:lvlText w:val="%7."/>
      <w:lvlJc w:val="left"/>
      <w:pPr>
        <w:ind w:left="4300" w:hanging="360"/>
      </w:pPr>
    </w:lvl>
    <w:lvl w:ilvl="7" w:tplc="08090019" w:tentative="1">
      <w:start w:val="1"/>
      <w:numFmt w:val="lowerLetter"/>
      <w:lvlText w:val="%8."/>
      <w:lvlJc w:val="left"/>
      <w:pPr>
        <w:ind w:left="5020" w:hanging="360"/>
      </w:pPr>
    </w:lvl>
    <w:lvl w:ilvl="8" w:tplc="0809001B" w:tentative="1">
      <w:start w:val="1"/>
      <w:numFmt w:val="lowerRoman"/>
      <w:lvlText w:val="%9."/>
      <w:lvlJc w:val="right"/>
      <w:pPr>
        <w:ind w:left="5740" w:hanging="180"/>
      </w:pPr>
    </w:lvl>
  </w:abstractNum>
  <w:abstractNum w:abstractNumId="6" w15:restartNumberingAfterBreak="0">
    <w:nsid w:val="1534208E"/>
    <w:multiLevelType w:val="hybridMultilevel"/>
    <w:tmpl w:val="C67AE0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FA54579"/>
    <w:multiLevelType w:val="hybridMultilevel"/>
    <w:tmpl w:val="FE465A7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130566"/>
    <w:multiLevelType w:val="hybridMultilevel"/>
    <w:tmpl w:val="B9E88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A41F96"/>
    <w:multiLevelType w:val="hybridMultilevel"/>
    <w:tmpl w:val="CD6C2E60"/>
    <w:lvl w:ilvl="0" w:tplc="C0C25F8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A326AD1"/>
    <w:multiLevelType w:val="hybridMultilevel"/>
    <w:tmpl w:val="4698A5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F3C4363"/>
    <w:multiLevelType w:val="hybridMultilevel"/>
    <w:tmpl w:val="9A02BC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264799"/>
    <w:multiLevelType w:val="hybridMultilevel"/>
    <w:tmpl w:val="DCDEAC2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4523EE4"/>
    <w:multiLevelType w:val="hybridMultilevel"/>
    <w:tmpl w:val="07FCC1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FD7A4F"/>
    <w:multiLevelType w:val="hybridMultilevel"/>
    <w:tmpl w:val="09405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837291"/>
    <w:multiLevelType w:val="hybridMultilevel"/>
    <w:tmpl w:val="06CAD3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9AC7630"/>
    <w:multiLevelType w:val="hybridMultilevel"/>
    <w:tmpl w:val="B17EAC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D55527"/>
    <w:multiLevelType w:val="singleLevel"/>
    <w:tmpl w:val="41B2DD6E"/>
    <w:lvl w:ilvl="0">
      <w:start w:val="1"/>
      <w:numFmt w:val="bullet"/>
      <w:pStyle w:val="ListBullet1"/>
      <w:lvlText w:val=""/>
      <w:lvlJc w:val="left"/>
      <w:pPr>
        <w:tabs>
          <w:tab w:val="num" w:pos="765"/>
        </w:tabs>
        <w:ind w:left="765" w:hanging="283"/>
      </w:pPr>
      <w:rPr>
        <w:rFonts w:ascii="Symbol" w:hAnsi="Symbol"/>
      </w:rPr>
    </w:lvl>
  </w:abstractNum>
  <w:abstractNum w:abstractNumId="19" w15:restartNumberingAfterBreak="0">
    <w:nsid w:val="5E0945D3"/>
    <w:multiLevelType w:val="hybridMultilevel"/>
    <w:tmpl w:val="E6F4A0F6"/>
    <w:lvl w:ilvl="0" w:tplc="2E68B6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1E6260"/>
    <w:multiLevelType w:val="hybridMultilevel"/>
    <w:tmpl w:val="80140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9E7032"/>
    <w:multiLevelType w:val="hybridMultilevel"/>
    <w:tmpl w:val="19B6B8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DB196D"/>
    <w:multiLevelType w:val="hybridMultilevel"/>
    <w:tmpl w:val="4EA0C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9E429F"/>
    <w:multiLevelType w:val="hybridMultilevel"/>
    <w:tmpl w:val="E50CB5E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9F36B4F"/>
    <w:multiLevelType w:val="hybridMultilevel"/>
    <w:tmpl w:val="1318F2C6"/>
    <w:lvl w:ilvl="0" w:tplc="CE6206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050D81"/>
    <w:multiLevelType w:val="hybridMultilevel"/>
    <w:tmpl w:val="9F6C9B6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6FAD0B32"/>
    <w:multiLevelType w:val="hybridMultilevel"/>
    <w:tmpl w:val="7EA4DB8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604493D"/>
    <w:multiLevelType w:val="hybridMultilevel"/>
    <w:tmpl w:val="69960488"/>
    <w:lvl w:ilvl="0" w:tplc="08090017">
      <w:start w:val="1"/>
      <w:numFmt w:val="lowerLetter"/>
      <w:lvlText w:val="%1)"/>
      <w:lvlJc w:val="left"/>
      <w:pPr>
        <w:ind w:left="720" w:hanging="360"/>
      </w:pPr>
      <w:rPr>
        <w:rFonts w:hint="default"/>
      </w:rPr>
    </w:lvl>
    <w:lvl w:ilvl="1" w:tplc="08090017">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8" w15:restartNumberingAfterBreak="0">
    <w:nsid w:val="79591E55"/>
    <w:multiLevelType w:val="hybridMultilevel"/>
    <w:tmpl w:val="13949B86"/>
    <w:lvl w:ilvl="0" w:tplc="08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C0A6408"/>
    <w:multiLevelType w:val="hybridMultilevel"/>
    <w:tmpl w:val="4092A30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FC573B9"/>
    <w:multiLevelType w:val="hybridMultilevel"/>
    <w:tmpl w:val="9A007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2"/>
  </w:num>
  <w:num w:numId="3">
    <w:abstractNumId w:val="13"/>
  </w:num>
  <w:num w:numId="4">
    <w:abstractNumId w:val="6"/>
  </w:num>
  <w:num w:numId="5">
    <w:abstractNumId w:val="20"/>
  </w:num>
  <w:num w:numId="6">
    <w:abstractNumId w:val="14"/>
  </w:num>
  <w:num w:numId="7">
    <w:abstractNumId w:val="8"/>
  </w:num>
  <w:num w:numId="8">
    <w:abstractNumId w:val="0"/>
  </w:num>
  <w:num w:numId="9">
    <w:abstractNumId w:val="30"/>
  </w:num>
  <w:num w:numId="10">
    <w:abstractNumId w:val="23"/>
  </w:num>
  <w:num w:numId="11">
    <w:abstractNumId w:val="28"/>
  </w:num>
  <w:num w:numId="12">
    <w:abstractNumId w:val="18"/>
  </w:num>
  <w:num w:numId="13">
    <w:abstractNumId w:val="21"/>
  </w:num>
  <w:num w:numId="14">
    <w:abstractNumId w:val="16"/>
  </w:num>
  <w:num w:numId="15">
    <w:abstractNumId w:val="2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2"/>
  </w:num>
  <w:num w:numId="19">
    <w:abstractNumId w:val="10"/>
  </w:num>
  <w:num w:numId="20">
    <w:abstractNumId w:val="7"/>
  </w:num>
  <w:num w:numId="21">
    <w:abstractNumId w:val="26"/>
  </w:num>
  <w:num w:numId="22">
    <w:abstractNumId w:val="29"/>
  </w:num>
  <w:num w:numId="23">
    <w:abstractNumId w:val="4"/>
  </w:num>
  <w:num w:numId="24">
    <w:abstractNumId w:val="12"/>
  </w:num>
  <w:num w:numId="25">
    <w:abstractNumId w:val="25"/>
  </w:num>
  <w:num w:numId="26">
    <w:abstractNumId w:val="9"/>
  </w:num>
  <w:num w:numId="27">
    <w:abstractNumId w:val="27"/>
  </w:num>
  <w:num w:numId="28">
    <w:abstractNumId w:val="11"/>
  </w:num>
  <w:num w:numId="29">
    <w:abstractNumId w:val="5"/>
  </w:num>
  <w:num w:numId="30">
    <w:abstractNumId w:val="3"/>
  </w:num>
  <w:num w:numId="31">
    <w:abstractNumId w:val="1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enforcement="1" w:cryptProviderType="rsaAES" w:cryptAlgorithmClass="hash" w:cryptAlgorithmType="typeAny" w:cryptAlgorithmSid="14" w:cryptSpinCount="100000" w:hash="F4LAli6ZXR+y9N3mqlBmCIYTNkjecKKtaSryHuC2F+M5pmkoArWxZsjn4+5twXMQyhirz/uMoWBM9bQz4o23tQ==" w:salt="YwolQY2LtlbuAypnuep/YA=="/>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2F7"/>
    <w:rsid w:val="00020471"/>
    <w:rsid w:val="000355F9"/>
    <w:rsid w:val="00055CAB"/>
    <w:rsid w:val="00056ADA"/>
    <w:rsid w:val="00062932"/>
    <w:rsid w:val="00062BF6"/>
    <w:rsid w:val="000755D0"/>
    <w:rsid w:val="000847D9"/>
    <w:rsid w:val="0009335C"/>
    <w:rsid w:val="000E139F"/>
    <w:rsid w:val="000E412E"/>
    <w:rsid w:val="000F5E5F"/>
    <w:rsid w:val="00117380"/>
    <w:rsid w:val="0014454E"/>
    <w:rsid w:val="00163B93"/>
    <w:rsid w:val="001B3109"/>
    <w:rsid w:val="001B5E37"/>
    <w:rsid w:val="00222B03"/>
    <w:rsid w:val="00223B02"/>
    <w:rsid w:val="0024265C"/>
    <w:rsid w:val="0024543A"/>
    <w:rsid w:val="002577A2"/>
    <w:rsid w:val="0027673E"/>
    <w:rsid w:val="002916D5"/>
    <w:rsid w:val="002A0635"/>
    <w:rsid w:val="002B1BBB"/>
    <w:rsid w:val="002E5C89"/>
    <w:rsid w:val="002E6868"/>
    <w:rsid w:val="00327517"/>
    <w:rsid w:val="0034197D"/>
    <w:rsid w:val="00352C53"/>
    <w:rsid w:val="00380043"/>
    <w:rsid w:val="0038405D"/>
    <w:rsid w:val="003A110D"/>
    <w:rsid w:val="003A77F8"/>
    <w:rsid w:val="003B6F69"/>
    <w:rsid w:val="003C5DFD"/>
    <w:rsid w:val="003D7019"/>
    <w:rsid w:val="003F660B"/>
    <w:rsid w:val="004005C5"/>
    <w:rsid w:val="0042256A"/>
    <w:rsid w:val="00457967"/>
    <w:rsid w:val="0046278F"/>
    <w:rsid w:val="00471F61"/>
    <w:rsid w:val="004742F7"/>
    <w:rsid w:val="004834D4"/>
    <w:rsid w:val="004B6AD4"/>
    <w:rsid w:val="004B6EFE"/>
    <w:rsid w:val="004D1C45"/>
    <w:rsid w:val="004D2AAE"/>
    <w:rsid w:val="004E4227"/>
    <w:rsid w:val="004F0728"/>
    <w:rsid w:val="004F5906"/>
    <w:rsid w:val="00507F30"/>
    <w:rsid w:val="005145E5"/>
    <w:rsid w:val="005556C2"/>
    <w:rsid w:val="0057131F"/>
    <w:rsid w:val="00573199"/>
    <w:rsid w:val="00584C5C"/>
    <w:rsid w:val="00594CA7"/>
    <w:rsid w:val="005D5209"/>
    <w:rsid w:val="00626B79"/>
    <w:rsid w:val="0064163F"/>
    <w:rsid w:val="00644BED"/>
    <w:rsid w:val="00685920"/>
    <w:rsid w:val="0069104F"/>
    <w:rsid w:val="006D212E"/>
    <w:rsid w:val="007035AB"/>
    <w:rsid w:val="00705F93"/>
    <w:rsid w:val="00712F78"/>
    <w:rsid w:val="007218C6"/>
    <w:rsid w:val="00737310"/>
    <w:rsid w:val="00745E36"/>
    <w:rsid w:val="0076293F"/>
    <w:rsid w:val="00781B57"/>
    <w:rsid w:val="007A2CC5"/>
    <w:rsid w:val="007C1154"/>
    <w:rsid w:val="007F7BDB"/>
    <w:rsid w:val="008100E6"/>
    <w:rsid w:val="0082458D"/>
    <w:rsid w:val="0085428B"/>
    <w:rsid w:val="00864209"/>
    <w:rsid w:val="0087594F"/>
    <w:rsid w:val="0089503F"/>
    <w:rsid w:val="008A3C44"/>
    <w:rsid w:val="008B1394"/>
    <w:rsid w:val="008F7343"/>
    <w:rsid w:val="00923EF4"/>
    <w:rsid w:val="00960771"/>
    <w:rsid w:val="00990380"/>
    <w:rsid w:val="0099636C"/>
    <w:rsid w:val="009C2B7F"/>
    <w:rsid w:val="009C3D0A"/>
    <w:rsid w:val="009D197F"/>
    <w:rsid w:val="009F4BA2"/>
    <w:rsid w:val="009F66C7"/>
    <w:rsid w:val="00A01A09"/>
    <w:rsid w:val="00A632FD"/>
    <w:rsid w:val="00A72638"/>
    <w:rsid w:val="00A731AB"/>
    <w:rsid w:val="00A811A0"/>
    <w:rsid w:val="00A83F04"/>
    <w:rsid w:val="00A9285A"/>
    <w:rsid w:val="00AC3404"/>
    <w:rsid w:val="00AE2F0B"/>
    <w:rsid w:val="00B00C5E"/>
    <w:rsid w:val="00B04E39"/>
    <w:rsid w:val="00B31C53"/>
    <w:rsid w:val="00B36AA1"/>
    <w:rsid w:val="00B431BE"/>
    <w:rsid w:val="00B4652E"/>
    <w:rsid w:val="00BA2A94"/>
    <w:rsid w:val="00BC22DA"/>
    <w:rsid w:val="00C01384"/>
    <w:rsid w:val="00C2784E"/>
    <w:rsid w:val="00C30EC6"/>
    <w:rsid w:val="00C336A1"/>
    <w:rsid w:val="00C375D1"/>
    <w:rsid w:val="00C40B2F"/>
    <w:rsid w:val="00C42393"/>
    <w:rsid w:val="00C80F4E"/>
    <w:rsid w:val="00CC0406"/>
    <w:rsid w:val="00CC13D5"/>
    <w:rsid w:val="00CD73A1"/>
    <w:rsid w:val="00CF24BD"/>
    <w:rsid w:val="00D47FC4"/>
    <w:rsid w:val="00D63403"/>
    <w:rsid w:val="00D952A0"/>
    <w:rsid w:val="00DA39F2"/>
    <w:rsid w:val="00DB5CB9"/>
    <w:rsid w:val="00E212EF"/>
    <w:rsid w:val="00E30954"/>
    <w:rsid w:val="00E51B6A"/>
    <w:rsid w:val="00E7615B"/>
    <w:rsid w:val="00E76BE7"/>
    <w:rsid w:val="00EE3FAC"/>
    <w:rsid w:val="00F164CF"/>
    <w:rsid w:val="00F17077"/>
    <w:rsid w:val="00F36429"/>
    <w:rsid w:val="00F5121D"/>
    <w:rsid w:val="00FA20E0"/>
    <w:rsid w:val="00FB3A66"/>
    <w:rsid w:val="00FD2830"/>
    <w:rsid w:val="00FD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C33E017"/>
  <w15:docId w15:val="{3EF6F8E6-5F13-442D-8D08-9CC306FA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2F7"/>
  </w:style>
  <w:style w:type="paragraph" w:styleId="Footer">
    <w:name w:val="footer"/>
    <w:basedOn w:val="Normal"/>
    <w:link w:val="FooterChar"/>
    <w:uiPriority w:val="99"/>
    <w:unhideWhenUsed/>
    <w:rsid w:val="00474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2F7"/>
  </w:style>
  <w:style w:type="paragraph" w:styleId="BalloonText">
    <w:name w:val="Balloon Text"/>
    <w:basedOn w:val="Normal"/>
    <w:link w:val="BalloonTextChar"/>
    <w:uiPriority w:val="99"/>
    <w:semiHidden/>
    <w:unhideWhenUsed/>
    <w:rsid w:val="00474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2F7"/>
    <w:rPr>
      <w:rFonts w:ascii="Tahoma" w:hAnsi="Tahoma" w:cs="Tahoma"/>
      <w:sz w:val="16"/>
      <w:szCs w:val="16"/>
    </w:rPr>
  </w:style>
  <w:style w:type="character" w:styleId="Hyperlink">
    <w:name w:val="Hyperlink"/>
    <w:basedOn w:val="DefaultParagraphFont"/>
    <w:uiPriority w:val="99"/>
    <w:unhideWhenUsed/>
    <w:rsid w:val="004742F7"/>
    <w:rPr>
      <w:color w:val="0000FF"/>
      <w:u w:val="single"/>
    </w:rPr>
  </w:style>
  <w:style w:type="paragraph" w:customStyle="1" w:styleId="Label">
    <w:name w:val="Label"/>
    <w:basedOn w:val="Normal"/>
    <w:qFormat/>
    <w:rsid w:val="004742F7"/>
    <w:pPr>
      <w:spacing w:before="40" w:after="20" w:line="240" w:lineRule="auto"/>
    </w:pPr>
    <w:rPr>
      <w:rFonts w:ascii="Calibri" w:eastAsia="Calibri" w:hAnsi="Calibri" w:cs="Times New Roman"/>
      <w:b/>
      <w:color w:val="262626"/>
      <w:sz w:val="20"/>
      <w:lang w:val="en-US"/>
    </w:rPr>
  </w:style>
  <w:style w:type="paragraph" w:customStyle="1" w:styleId="Details">
    <w:name w:val="Details"/>
    <w:basedOn w:val="Normal"/>
    <w:qFormat/>
    <w:rsid w:val="004742F7"/>
    <w:pPr>
      <w:spacing w:before="60" w:after="20" w:line="240" w:lineRule="auto"/>
    </w:pPr>
    <w:rPr>
      <w:rFonts w:ascii="Calibri" w:eastAsia="Calibri" w:hAnsi="Calibri" w:cs="Times New Roman"/>
      <w:color w:val="262626"/>
      <w:sz w:val="20"/>
      <w:lang w:val="en-US"/>
    </w:rPr>
  </w:style>
  <w:style w:type="paragraph" w:customStyle="1" w:styleId="BulletedList">
    <w:name w:val="Bulleted List"/>
    <w:basedOn w:val="Normal"/>
    <w:qFormat/>
    <w:rsid w:val="004742F7"/>
    <w:pPr>
      <w:numPr>
        <w:numId w:val="1"/>
      </w:numPr>
      <w:spacing w:before="60" w:after="20" w:line="240" w:lineRule="auto"/>
    </w:pPr>
    <w:rPr>
      <w:rFonts w:ascii="Calibri" w:eastAsia="Calibri" w:hAnsi="Calibri" w:cs="Times New Roman"/>
      <w:color w:val="262626"/>
      <w:sz w:val="20"/>
      <w:lang w:val="en-US"/>
    </w:rPr>
  </w:style>
  <w:style w:type="paragraph" w:customStyle="1" w:styleId="NumberedList">
    <w:name w:val="Numbered List"/>
    <w:basedOn w:val="Details"/>
    <w:qFormat/>
    <w:rsid w:val="004742F7"/>
    <w:pPr>
      <w:numPr>
        <w:numId w:val="2"/>
      </w:numPr>
    </w:pPr>
  </w:style>
  <w:style w:type="paragraph" w:customStyle="1" w:styleId="Secondarylabels">
    <w:name w:val="Secondary labels"/>
    <w:basedOn w:val="Label"/>
    <w:qFormat/>
    <w:rsid w:val="004742F7"/>
    <w:pPr>
      <w:spacing w:before="120" w:after="120"/>
    </w:pPr>
  </w:style>
  <w:style w:type="character" w:styleId="CommentReference">
    <w:name w:val="annotation reference"/>
    <w:basedOn w:val="DefaultParagraphFont"/>
    <w:uiPriority w:val="99"/>
    <w:semiHidden/>
    <w:unhideWhenUsed/>
    <w:rsid w:val="00CC13D5"/>
    <w:rPr>
      <w:sz w:val="16"/>
      <w:szCs w:val="16"/>
    </w:rPr>
  </w:style>
  <w:style w:type="paragraph" w:styleId="CommentText">
    <w:name w:val="annotation text"/>
    <w:basedOn w:val="Normal"/>
    <w:link w:val="CommentTextChar"/>
    <w:uiPriority w:val="99"/>
    <w:semiHidden/>
    <w:unhideWhenUsed/>
    <w:rsid w:val="00CC13D5"/>
    <w:pPr>
      <w:spacing w:line="240" w:lineRule="auto"/>
    </w:pPr>
    <w:rPr>
      <w:sz w:val="20"/>
      <w:szCs w:val="20"/>
    </w:rPr>
  </w:style>
  <w:style w:type="character" w:customStyle="1" w:styleId="CommentTextChar">
    <w:name w:val="Comment Text Char"/>
    <w:basedOn w:val="DefaultParagraphFont"/>
    <w:link w:val="CommentText"/>
    <w:uiPriority w:val="99"/>
    <w:semiHidden/>
    <w:rsid w:val="00CC13D5"/>
    <w:rPr>
      <w:sz w:val="20"/>
      <w:szCs w:val="20"/>
    </w:rPr>
  </w:style>
  <w:style w:type="paragraph" w:styleId="ListParagraph">
    <w:name w:val="List Paragraph"/>
    <w:basedOn w:val="Normal"/>
    <w:uiPriority w:val="34"/>
    <w:qFormat/>
    <w:rsid w:val="00CC13D5"/>
    <w:pPr>
      <w:ind w:left="720"/>
      <w:contextualSpacing/>
    </w:pPr>
  </w:style>
  <w:style w:type="paragraph" w:customStyle="1" w:styleId="Default">
    <w:name w:val="Default"/>
    <w:rsid w:val="00CC13D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Bullet1">
    <w:name w:val="List Bullet 1"/>
    <w:basedOn w:val="Normal"/>
    <w:rsid w:val="007035AB"/>
    <w:pPr>
      <w:numPr>
        <w:numId w:val="12"/>
      </w:numPr>
      <w:spacing w:after="240" w:line="240" w:lineRule="auto"/>
      <w:jc w:val="both"/>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89503F"/>
    <w:rPr>
      <w:b/>
      <w:bCs/>
    </w:rPr>
  </w:style>
  <w:style w:type="character" w:customStyle="1" w:styleId="CommentSubjectChar">
    <w:name w:val="Comment Subject Char"/>
    <w:basedOn w:val="CommentTextChar"/>
    <w:link w:val="CommentSubject"/>
    <w:uiPriority w:val="99"/>
    <w:semiHidden/>
    <w:rsid w:val="0089503F"/>
    <w:rPr>
      <w:b/>
      <w:bCs/>
      <w:sz w:val="20"/>
      <w:szCs w:val="20"/>
    </w:rPr>
  </w:style>
  <w:style w:type="character" w:styleId="FollowedHyperlink">
    <w:name w:val="FollowedHyperlink"/>
    <w:basedOn w:val="DefaultParagraphFont"/>
    <w:uiPriority w:val="99"/>
    <w:semiHidden/>
    <w:unhideWhenUsed/>
    <w:rsid w:val="00573199"/>
    <w:rPr>
      <w:color w:val="800080" w:themeColor="followedHyperlink"/>
      <w:u w:val="single"/>
    </w:rPr>
  </w:style>
  <w:style w:type="character" w:customStyle="1" w:styleId="col-sm-37">
    <w:name w:val="col-sm-37"/>
    <w:basedOn w:val="DefaultParagraphFont"/>
    <w:rsid w:val="00573199"/>
  </w:style>
  <w:style w:type="character" w:customStyle="1" w:styleId="t-meeting-num">
    <w:name w:val="t-meeting-num"/>
    <w:basedOn w:val="DefaultParagraphFont"/>
    <w:rsid w:val="00573199"/>
  </w:style>
  <w:style w:type="paragraph" w:styleId="Revision">
    <w:name w:val="Revision"/>
    <w:hidden/>
    <w:uiPriority w:val="99"/>
    <w:semiHidden/>
    <w:rsid w:val="00B04E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97754">
      <w:bodyDiv w:val="1"/>
      <w:marLeft w:val="0"/>
      <w:marRight w:val="0"/>
      <w:marTop w:val="0"/>
      <w:marBottom w:val="0"/>
      <w:divBdr>
        <w:top w:val="none" w:sz="0" w:space="0" w:color="auto"/>
        <w:left w:val="none" w:sz="0" w:space="0" w:color="auto"/>
        <w:bottom w:val="none" w:sz="0" w:space="0" w:color="auto"/>
        <w:right w:val="none" w:sz="0" w:space="0" w:color="auto"/>
      </w:divBdr>
    </w:div>
    <w:div w:id="378676669">
      <w:bodyDiv w:val="1"/>
      <w:marLeft w:val="0"/>
      <w:marRight w:val="0"/>
      <w:marTop w:val="0"/>
      <w:marBottom w:val="0"/>
      <w:divBdr>
        <w:top w:val="none" w:sz="0" w:space="0" w:color="auto"/>
        <w:left w:val="none" w:sz="0" w:space="0" w:color="auto"/>
        <w:bottom w:val="none" w:sz="0" w:space="0" w:color="auto"/>
        <w:right w:val="none" w:sz="0" w:space="0" w:color="auto"/>
      </w:divBdr>
    </w:div>
    <w:div w:id="940529970">
      <w:bodyDiv w:val="1"/>
      <w:marLeft w:val="0"/>
      <w:marRight w:val="0"/>
      <w:marTop w:val="0"/>
      <w:marBottom w:val="0"/>
      <w:divBdr>
        <w:top w:val="none" w:sz="0" w:space="0" w:color="auto"/>
        <w:left w:val="none" w:sz="0" w:space="0" w:color="auto"/>
        <w:bottom w:val="none" w:sz="0" w:space="0" w:color="auto"/>
        <w:right w:val="none" w:sz="0" w:space="0" w:color="auto"/>
      </w:divBdr>
    </w:div>
    <w:div w:id="1096097640">
      <w:bodyDiv w:val="1"/>
      <w:marLeft w:val="0"/>
      <w:marRight w:val="0"/>
      <w:marTop w:val="0"/>
      <w:marBottom w:val="0"/>
      <w:divBdr>
        <w:top w:val="none" w:sz="0" w:space="0" w:color="auto"/>
        <w:left w:val="none" w:sz="0" w:space="0" w:color="auto"/>
        <w:bottom w:val="none" w:sz="0" w:space="0" w:color="auto"/>
        <w:right w:val="none" w:sz="0" w:space="0" w:color="auto"/>
      </w:divBdr>
      <w:divsChild>
        <w:div w:id="1815372895">
          <w:marLeft w:val="450"/>
          <w:marRight w:val="450"/>
          <w:marTop w:val="0"/>
          <w:marBottom w:val="0"/>
          <w:divBdr>
            <w:top w:val="none" w:sz="0" w:space="0" w:color="auto"/>
            <w:left w:val="none" w:sz="0" w:space="0" w:color="auto"/>
            <w:bottom w:val="none" w:sz="0" w:space="0" w:color="auto"/>
            <w:right w:val="none" w:sz="0" w:space="0" w:color="auto"/>
          </w:divBdr>
          <w:divsChild>
            <w:div w:id="1432774903">
              <w:marLeft w:val="0"/>
              <w:marRight w:val="0"/>
              <w:marTop w:val="0"/>
              <w:marBottom w:val="0"/>
              <w:divBdr>
                <w:top w:val="none" w:sz="0" w:space="0" w:color="auto"/>
                <w:left w:val="none" w:sz="0" w:space="0" w:color="auto"/>
                <w:bottom w:val="none" w:sz="0" w:space="0" w:color="auto"/>
                <w:right w:val="none" w:sz="0" w:space="0" w:color="auto"/>
              </w:divBdr>
              <w:divsChild>
                <w:div w:id="483664814">
                  <w:marLeft w:val="0"/>
                  <w:marRight w:val="0"/>
                  <w:marTop w:val="0"/>
                  <w:marBottom w:val="0"/>
                  <w:divBdr>
                    <w:top w:val="none" w:sz="0" w:space="0" w:color="auto"/>
                    <w:left w:val="none" w:sz="0" w:space="0" w:color="auto"/>
                    <w:bottom w:val="none" w:sz="0" w:space="0" w:color="auto"/>
                    <w:right w:val="none" w:sz="0" w:space="0" w:color="auto"/>
                  </w:divBdr>
                  <w:divsChild>
                    <w:div w:id="1435402093">
                      <w:marLeft w:val="0"/>
                      <w:marRight w:val="0"/>
                      <w:marTop w:val="0"/>
                      <w:marBottom w:val="0"/>
                      <w:divBdr>
                        <w:top w:val="none" w:sz="0" w:space="0" w:color="auto"/>
                        <w:left w:val="none" w:sz="0" w:space="0" w:color="auto"/>
                        <w:bottom w:val="none" w:sz="0" w:space="0" w:color="auto"/>
                        <w:right w:val="none" w:sz="0" w:space="0" w:color="auto"/>
                      </w:divBdr>
                      <w:divsChild>
                        <w:div w:id="461072130">
                          <w:marLeft w:val="0"/>
                          <w:marRight w:val="0"/>
                          <w:marTop w:val="0"/>
                          <w:marBottom w:val="210"/>
                          <w:divBdr>
                            <w:top w:val="none" w:sz="0" w:space="0" w:color="auto"/>
                            <w:left w:val="none" w:sz="0" w:space="0" w:color="auto"/>
                            <w:bottom w:val="none" w:sz="0" w:space="0" w:color="auto"/>
                            <w:right w:val="none" w:sz="0" w:space="0" w:color="auto"/>
                          </w:divBdr>
                          <w:divsChild>
                            <w:div w:id="2077164201">
                              <w:marLeft w:val="0"/>
                              <w:marRight w:val="0"/>
                              <w:marTop w:val="0"/>
                              <w:marBottom w:val="0"/>
                              <w:divBdr>
                                <w:top w:val="none" w:sz="0" w:space="0" w:color="auto"/>
                                <w:left w:val="none" w:sz="0" w:space="0" w:color="auto"/>
                                <w:bottom w:val="none" w:sz="0" w:space="0" w:color="auto"/>
                                <w:right w:val="none" w:sz="0" w:space="0" w:color="auto"/>
                              </w:divBdr>
                            </w:div>
                          </w:divsChild>
                        </w:div>
                        <w:div w:id="399058041">
                          <w:marLeft w:val="0"/>
                          <w:marRight w:val="0"/>
                          <w:marTop w:val="0"/>
                          <w:marBottom w:val="210"/>
                          <w:divBdr>
                            <w:top w:val="none" w:sz="0" w:space="0" w:color="auto"/>
                            <w:left w:val="none" w:sz="0" w:space="0" w:color="auto"/>
                            <w:bottom w:val="none" w:sz="0" w:space="0" w:color="auto"/>
                            <w:right w:val="none" w:sz="0" w:space="0" w:color="auto"/>
                          </w:divBdr>
                          <w:divsChild>
                            <w:div w:id="142036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cd.bravosolution.com/web/en/login.html" TargetMode="External"/><Relationship Id="rId13" Type="http://schemas.openxmlformats.org/officeDocument/2006/relationships/hyperlink" Target="http://bit.ly/PISA24BidderSe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atalie.laechelt@oecd.org"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oecd.bravosolution.com/web/en/login.html" TargetMode="External"/><Relationship Id="rId10" Type="http://schemas.openxmlformats.org/officeDocument/2006/relationships/hyperlink" Target="http://www.oecd.org/pisa/publications/%20%2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iorgio.cerniglia@oecd.org" TargetMode="External"/><Relationship Id="rId14" Type="http://schemas.openxmlformats.org/officeDocument/2006/relationships/hyperlink" Target="https://oecd.bravosolution.com/web/en/logi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BBD93-6D21-48F2-AA45-BBECDC04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C9639CE3.dotm</Template>
  <TotalTime>2</TotalTime>
  <Pages>9</Pages>
  <Words>2843</Words>
  <Characters>16095</Characters>
  <Application>Microsoft Office Word</Application>
  <DocSecurity>12</DocSecurity>
  <Lines>374</Lines>
  <Paragraphs>156</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CERNIGLIA Giorgio</dc:creator>
  <cp:lastModifiedBy>REVERCHON Jérôme, EXD/PBF/CPG</cp:lastModifiedBy>
  <cp:revision>2</cp:revision>
  <cp:lastPrinted>2019-04-17T08:59:00Z</cp:lastPrinted>
  <dcterms:created xsi:type="dcterms:W3CDTF">2019-04-26T13:30:00Z</dcterms:created>
  <dcterms:modified xsi:type="dcterms:W3CDTF">2019-04-26T13:30:00Z</dcterms:modified>
</cp:coreProperties>
</file>