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B1D65" w14:textId="459C7CBD" w:rsidR="00D97E65" w:rsidRDefault="00D97E65" w:rsidP="00EC72AB">
      <w:pPr>
        <w:ind w:right="-24"/>
        <w:jc w:val="both"/>
      </w:pPr>
      <w:r>
        <w:t xml:space="preserve">   </w:t>
      </w:r>
      <w:r w:rsidR="0002025A">
        <w:t xml:space="preserve">  </w:t>
      </w:r>
      <w:r w:rsidR="00421629">
        <w:t xml:space="preserve">     </w:t>
      </w:r>
      <w:r w:rsidR="009F2583">
        <w:t xml:space="preserve">                                 </w:t>
      </w:r>
      <w:r w:rsidR="00421629">
        <w:t xml:space="preserve">   </w:t>
      </w:r>
    </w:p>
    <w:p w14:paraId="78756EA4" w14:textId="674264FC" w:rsidR="00430E12" w:rsidRDefault="000E1DC2" w:rsidP="00EC5998">
      <w:pPr>
        <w:tabs>
          <w:tab w:val="left" w:pos="9691"/>
        </w:tabs>
        <w:jc w:val="center"/>
        <w:rPr>
          <w:b/>
          <w:color w:val="056271"/>
          <w:sz w:val="32"/>
          <w:szCs w:val="32"/>
        </w:rPr>
      </w:pPr>
      <w:r>
        <w:rPr>
          <w:b/>
          <w:color w:val="056271"/>
          <w:sz w:val="32"/>
          <w:szCs w:val="32"/>
        </w:rPr>
        <w:t>Country case</w:t>
      </w:r>
      <w:r w:rsidR="0039420C">
        <w:rPr>
          <w:b/>
          <w:color w:val="056271"/>
          <w:sz w:val="32"/>
          <w:szCs w:val="32"/>
        </w:rPr>
        <w:t xml:space="preserve">: </w:t>
      </w:r>
      <w:r w:rsidR="00B41433" w:rsidRPr="00B41433">
        <w:rPr>
          <w:b/>
          <w:color w:val="056271"/>
          <w:sz w:val="32"/>
          <w:szCs w:val="32"/>
        </w:rPr>
        <w:t xml:space="preserve">The UK infrastructure procurement </w:t>
      </w:r>
      <w:proofErr w:type="spellStart"/>
      <w:r w:rsidR="00B41433" w:rsidRPr="00B41433">
        <w:rPr>
          <w:b/>
          <w:color w:val="056271"/>
          <w:sz w:val="32"/>
          <w:szCs w:val="32"/>
        </w:rPr>
        <w:t>routemap</w:t>
      </w:r>
      <w:proofErr w:type="spellEnd"/>
      <w:r w:rsidR="00DC23C5" w:rsidRPr="00DC23C5">
        <w:rPr>
          <w:b/>
          <w:color w:val="056271"/>
          <w:sz w:val="32"/>
          <w:szCs w:val="32"/>
        </w:rPr>
        <w:t xml:space="preserve">  </w:t>
      </w:r>
    </w:p>
    <w:p w14:paraId="5BA0A0C8" w14:textId="3AC9913B" w:rsidR="00DB3F79" w:rsidRDefault="001463B4" w:rsidP="00DB3F79">
      <w:pPr>
        <w:tabs>
          <w:tab w:val="left" w:pos="9691"/>
        </w:tabs>
        <w:rPr>
          <w:b/>
          <w:color w:val="056271"/>
          <w:sz w:val="28"/>
        </w:rPr>
      </w:pPr>
      <w:r>
        <w:rPr>
          <w:b/>
          <w:noProof/>
          <w:color w:val="056271"/>
          <w:sz w:val="28"/>
          <w:lang w:eastAsia="en-GB"/>
        </w:rPr>
        <w:pict w14:anchorId="0F1F41F7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14.2pt;margin-top:28.1pt;width:139.6pt;height:138pt;z-index:-251658752" wrapcoords="-113 0 -113 21506 21600 21506 21600 0 -113 0" fillcolor="#f9b400" stroked="f" strokecolor="#31849b [2408]" strokeweight="1pt">
            <v:textbox style="mso-next-textbox:#_x0000_s1027" inset=",0,,0">
              <w:txbxContent>
                <w:p w14:paraId="1C0D2375" w14:textId="77777777" w:rsidR="002265B4" w:rsidRDefault="002265B4" w:rsidP="00430E12">
                  <w:pPr>
                    <w:rPr>
                      <w:szCs w:val="24"/>
                    </w:rPr>
                  </w:pPr>
                </w:p>
                <w:p w14:paraId="581B6BB0" w14:textId="6895393D" w:rsidR="002265B4" w:rsidRPr="00DB3F79" w:rsidRDefault="002265B4" w:rsidP="00430E12">
                  <w:pPr>
                    <w:rPr>
                      <w:b/>
                      <w:szCs w:val="24"/>
                    </w:rPr>
                  </w:pPr>
                  <w:r w:rsidRPr="00DB3F79">
                    <w:rPr>
                      <w:szCs w:val="24"/>
                    </w:rPr>
                    <w:t>Public Procurement Principle:</w:t>
                  </w:r>
                  <w:r w:rsidRPr="00DB3F79">
                    <w:rPr>
                      <w:b/>
                      <w:szCs w:val="24"/>
                    </w:rPr>
                    <w:t xml:space="preserve"> </w:t>
                  </w:r>
                  <w:r w:rsidR="00112E90">
                    <w:rPr>
                      <w:b/>
                      <w:szCs w:val="24"/>
                    </w:rPr>
                    <w:t>Capacity</w:t>
                  </w:r>
                  <w:r w:rsidRPr="00DB3F79">
                    <w:rPr>
                      <w:b/>
                      <w:szCs w:val="24"/>
                    </w:rPr>
                    <w:t xml:space="preserve"> </w:t>
                  </w:r>
                </w:p>
                <w:p w14:paraId="2EFF2657" w14:textId="78C5C410" w:rsidR="002265B4" w:rsidRPr="00DB3F79" w:rsidRDefault="002265B4" w:rsidP="00430E12">
                  <w:pPr>
                    <w:rPr>
                      <w:b/>
                      <w:szCs w:val="24"/>
                    </w:rPr>
                  </w:pPr>
                  <w:r w:rsidRPr="00DB3F79">
                    <w:rPr>
                      <w:szCs w:val="24"/>
                    </w:rPr>
                    <w:t>Procurement Stage</w:t>
                  </w:r>
                  <w:proofErr w:type="gramStart"/>
                  <w:r w:rsidRPr="00DB3F79">
                    <w:rPr>
                      <w:szCs w:val="24"/>
                    </w:rPr>
                    <w:t>:</w:t>
                  </w:r>
                  <w:proofErr w:type="gramEnd"/>
                  <w:r>
                    <w:rPr>
                      <w:szCs w:val="24"/>
                    </w:rPr>
                    <w:br/>
                  </w:r>
                  <w:r w:rsidR="00112E90">
                    <w:rPr>
                      <w:b/>
                      <w:szCs w:val="24"/>
                    </w:rPr>
                    <w:t>Post-award</w:t>
                  </w:r>
                </w:p>
                <w:p w14:paraId="0D6EA48F" w14:textId="48574D8D" w:rsidR="002265B4" w:rsidRPr="00112E90" w:rsidRDefault="002265B4" w:rsidP="00430E12">
                  <w:pPr>
                    <w:rPr>
                      <w:b/>
                      <w:sz w:val="24"/>
                      <w:szCs w:val="24"/>
                    </w:rPr>
                  </w:pPr>
                  <w:r w:rsidRPr="00DB3F79">
                    <w:rPr>
                      <w:szCs w:val="24"/>
                    </w:rPr>
                    <w:t>Audience:</w:t>
                  </w:r>
                  <w:r w:rsidR="00112E90">
                    <w:rPr>
                      <w:szCs w:val="24"/>
                    </w:rPr>
                    <w:t xml:space="preserve"> </w:t>
                  </w:r>
                  <w:r w:rsidR="00112E90">
                    <w:rPr>
                      <w:b/>
                      <w:szCs w:val="24"/>
                    </w:rPr>
                    <w:t>Procuring Entity, Private Sector</w:t>
                  </w:r>
                </w:p>
              </w:txbxContent>
            </v:textbox>
            <w10:wrap type="tight"/>
          </v:shape>
        </w:pict>
      </w:r>
    </w:p>
    <w:p w14:paraId="30C8B1A3" w14:textId="067111EE" w:rsidR="00C716E3" w:rsidRPr="00A50B1C" w:rsidRDefault="00C716E3" w:rsidP="00DB3F79">
      <w:pPr>
        <w:tabs>
          <w:tab w:val="left" w:pos="9691"/>
        </w:tabs>
        <w:rPr>
          <w:b/>
          <w:color w:val="056271"/>
          <w:sz w:val="28"/>
        </w:rPr>
      </w:pPr>
      <w:r w:rsidRPr="00A50B1C">
        <w:rPr>
          <w:b/>
          <w:color w:val="056271"/>
          <w:sz w:val="28"/>
        </w:rPr>
        <w:t>Description</w:t>
      </w:r>
    </w:p>
    <w:p w14:paraId="32F8EE8F" w14:textId="728CB7F3" w:rsidR="00B41433" w:rsidRPr="00B41433" w:rsidRDefault="00B41433" w:rsidP="00B41433">
      <w:pPr>
        <w:spacing w:after="0"/>
        <w:jc w:val="both"/>
        <w:rPr>
          <w:rFonts w:cs="Arial"/>
          <w:szCs w:val="18"/>
        </w:rPr>
      </w:pPr>
      <w:r w:rsidRPr="00B41433">
        <w:rPr>
          <w:rFonts w:cs="Arial"/>
          <w:szCs w:val="18"/>
        </w:rPr>
        <w:t>The Government, through the Infrastructure Cost Review programme, has worked with</w:t>
      </w:r>
      <w:r>
        <w:rPr>
          <w:rFonts w:cs="Arial"/>
          <w:szCs w:val="18"/>
        </w:rPr>
        <w:t xml:space="preserve"> </w:t>
      </w:r>
      <w:r w:rsidRPr="00B41433">
        <w:rPr>
          <w:rFonts w:cs="Arial"/>
          <w:szCs w:val="18"/>
        </w:rPr>
        <w:t>leading infrastructure clients, industry and academics to develop an Infrastructure Procurement</w:t>
      </w:r>
    </w:p>
    <w:p w14:paraId="7F7618DA" w14:textId="6F2891EC" w:rsidR="00B41433" w:rsidRDefault="00B41433" w:rsidP="00B41433">
      <w:pPr>
        <w:spacing w:after="0"/>
        <w:jc w:val="both"/>
        <w:rPr>
          <w:rFonts w:cs="Arial"/>
          <w:szCs w:val="18"/>
        </w:rPr>
      </w:pPr>
      <w:proofErr w:type="spellStart"/>
      <w:proofErr w:type="gramStart"/>
      <w:r w:rsidRPr="00B41433">
        <w:rPr>
          <w:rFonts w:cs="Arial"/>
          <w:szCs w:val="18"/>
        </w:rPr>
        <w:t>Routemap</w:t>
      </w:r>
      <w:proofErr w:type="spellEnd"/>
      <w:r w:rsidRPr="00B41433">
        <w:rPr>
          <w:rFonts w:cs="Arial"/>
          <w:szCs w:val="18"/>
        </w:rPr>
        <w:t>, a guide to improving delivery capability.</w:t>
      </w:r>
      <w:proofErr w:type="gramEnd"/>
      <w:r w:rsidRPr="00B41433">
        <w:rPr>
          <w:rFonts w:cs="Arial"/>
          <w:szCs w:val="18"/>
        </w:rPr>
        <w:t xml:space="preserve"> It is aimed primarily at the sponsor and</w:t>
      </w:r>
      <w:r>
        <w:rPr>
          <w:rFonts w:cs="Arial"/>
          <w:szCs w:val="18"/>
        </w:rPr>
        <w:t xml:space="preserve"> </w:t>
      </w:r>
      <w:r w:rsidRPr="00B41433">
        <w:rPr>
          <w:rFonts w:cs="Arial"/>
          <w:szCs w:val="18"/>
        </w:rPr>
        <w:t>client organisations that deliver major projects and programmes, long-term capital investment</w:t>
      </w:r>
      <w:r>
        <w:rPr>
          <w:rFonts w:cs="Arial"/>
          <w:szCs w:val="18"/>
        </w:rPr>
        <w:t xml:space="preserve"> </w:t>
      </w:r>
      <w:r w:rsidRPr="00B41433">
        <w:rPr>
          <w:rFonts w:cs="Arial"/>
          <w:szCs w:val="18"/>
        </w:rPr>
        <w:t>plans and publicly procured megaprojects.</w:t>
      </w:r>
    </w:p>
    <w:p w14:paraId="0273022D" w14:textId="77777777" w:rsidR="00B41433" w:rsidRPr="00B41433" w:rsidRDefault="00B41433" w:rsidP="00B41433">
      <w:pPr>
        <w:spacing w:after="0"/>
        <w:jc w:val="both"/>
        <w:rPr>
          <w:rFonts w:cs="Arial"/>
          <w:szCs w:val="18"/>
        </w:rPr>
      </w:pPr>
    </w:p>
    <w:p w14:paraId="70A45276" w14:textId="77777777" w:rsidR="00B41433" w:rsidRDefault="00B41433" w:rsidP="00B41433">
      <w:pPr>
        <w:spacing w:after="0"/>
        <w:jc w:val="both"/>
        <w:rPr>
          <w:rFonts w:cs="Arial"/>
          <w:szCs w:val="18"/>
        </w:rPr>
      </w:pPr>
      <w:r w:rsidRPr="00B41433">
        <w:rPr>
          <w:rFonts w:cs="Arial"/>
          <w:szCs w:val="18"/>
        </w:rPr>
        <w:t xml:space="preserve">The key components and application of the </w:t>
      </w:r>
      <w:proofErr w:type="spellStart"/>
      <w:r w:rsidRPr="00B41433">
        <w:rPr>
          <w:rFonts w:cs="Arial"/>
          <w:szCs w:val="18"/>
        </w:rPr>
        <w:t>routemap</w:t>
      </w:r>
      <w:proofErr w:type="spellEnd"/>
      <w:r w:rsidRPr="00B41433">
        <w:rPr>
          <w:rFonts w:cs="Arial"/>
          <w:szCs w:val="18"/>
        </w:rPr>
        <w:t xml:space="preserve"> are based on:</w:t>
      </w:r>
    </w:p>
    <w:p w14:paraId="112719FE" w14:textId="77777777" w:rsidR="00B41433" w:rsidRPr="00B41433" w:rsidRDefault="00B41433" w:rsidP="00B41433">
      <w:pPr>
        <w:spacing w:after="0"/>
        <w:jc w:val="both"/>
        <w:rPr>
          <w:rFonts w:cs="Arial"/>
          <w:szCs w:val="18"/>
        </w:rPr>
      </w:pPr>
    </w:p>
    <w:p w14:paraId="713C4A9D" w14:textId="255AE26D" w:rsidR="00B41433" w:rsidRPr="00B41433" w:rsidRDefault="00B41433" w:rsidP="00B41433">
      <w:pPr>
        <w:pStyle w:val="ListParagraph"/>
        <w:numPr>
          <w:ilvl w:val="0"/>
          <w:numId w:val="2"/>
        </w:numPr>
        <w:spacing w:after="0"/>
        <w:ind w:left="284" w:hanging="284"/>
        <w:jc w:val="both"/>
        <w:rPr>
          <w:rFonts w:eastAsia="Times New Roman" w:cs="Arial"/>
          <w:szCs w:val="18"/>
          <w:lang w:eastAsia="en-GB"/>
        </w:rPr>
      </w:pPr>
      <w:r w:rsidRPr="00B41433">
        <w:rPr>
          <w:rFonts w:eastAsia="Times New Roman" w:cs="Arial"/>
          <w:szCs w:val="18"/>
          <w:lang w:eastAsia="en-GB"/>
        </w:rPr>
        <w:t xml:space="preserve">A suite of assessment tools developed as part of the </w:t>
      </w:r>
      <w:proofErr w:type="spellStart"/>
      <w:r w:rsidRPr="00B41433">
        <w:rPr>
          <w:rFonts w:eastAsia="Times New Roman" w:cs="Arial"/>
          <w:szCs w:val="18"/>
          <w:lang w:eastAsia="en-GB"/>
        </w:rPr>
        <w:t>routemap</w:t>
      </w:r>
      <w:proofErr w:type="spellEnd"/>
      <w:r w:rsidRPr="00B41433">
        <w:rPr>
          <w:rFonts w:eastAsia="Times New Roman" w:cs="Arial"/>
          <w:szCs w:val="18"/>
          <w:lang w:eastAsia="en-GB"/>
        </w:rPr>
        <w:t xml:space="preserve"> to enable sponsors, clients and the supply chain to align beha</w:t>
      </w:r>
      <w:bookmarkStart w:id="0" w:name="_GoBack"/>
      <w:bookmarkEnd w:id="0"/>
      <w:r w:rsidRPr="00B41433">
        <w:rPr>
          <w:rFonts w:eastAsia="Times New Roman" w:cs="Arial"/>
          <w:szCs w:val="18"/>
          <w:lang w:eastAsia="en-GB"/>
        </w:rPr>
        <w:t>viours and identify capability gaps.</w:t>
      </w:r>
    </w:p>
    <w:p w14:paraId="01DEF79F" w14:textId="52AB1918" w:rsidR="00B41433" w:rsidRPr="00B41433" w:rsidRDefault="00B41433" w:rsidP="00B41433">
      <w:pPr>
        <w:pStyle w:val="ListParagraph"/>
        <w:numPr>
          <w:ilvl w:val="0"/>
          <w:numId w:val="2"/>
        </w:numPr>
        <w:spacing w:after="0"/>
        <w:ind w:left="284" w:hanging="284"/>
        <w:jc w:val="both"/>
        <w:rPr>
          <w:rFonts w:eastAsia="Times New Roman" w:cs="Arial"/>
          <w:szCs w:val="18"/>
          <w:lang w:eastAsia="en-GB"/>
        </w:rPr>
      </w:pPr>
      <w:r w:rsidRPr="00B41433">
        <w:rPr>
          <w:rFonts w:eastAsia="Times New Roman" w:cs="Arial"/>
          <w:szCs w:val="18"/>
          <w:lang w:eastAsia="en-GB"/>
        </w:rPr>
        <w:t>The use of “complexity” assessment tools for establishing the nature of the delivery environment.</w:t>
      </w:r>
    </w:p>
    <w:p w14:paraId="40E9CEAC" w14:textId="43ECD270" w:rsidR="00B41433" w:rsidRPr="00B41433" w:rsidRDefault="00B41433" w:rsidP="00B41433">
      <w:pPr>
        <w:pStyle w:val="ListParagraph"/>
        <w:numPr>
          <w:ilvl w:val="0"/>
          <w:numId w:val="2"/>
        </w:numPr>
        <w:spacing w:after="0"/>
        <w:ind w:left="284" w:hanging="284"/>
        <w:jc w:val="both"/>
        <w:rPr>
          <w:rFonts w:eastAsia="Times New Roman" w:cs="Arial"/>
          <w:szCs w:val="18"/>
          <w:lang w:eastAsia="en-GB"/>
        </w:rPr>
      </w:pPr>
      <w:r w:rsidRPr="00B41433">
        <w:rPr>
          <w:rFonts w:eastAsia="Times New Roman" w:cs="Arial"/>
          <w:szCs w:val="18"/>
          <w:lang w:eastAsia="en-GB"/>
        </w:rPr>
        <w:t xml:space="preserve">Enabling the adoption of the common characteristics and behaviours associated with successful infrastructure project and programme delivery, including </w:t>
      </w:r>
      <w:r w:rsidRPr="00B41433">
        <w:rPr>
          <w:rFonts w:eastAsia="Times New Roman" w:cs="Arial"/>
          <w:i/>
          <w:szCs w:val="18"/>
          <w:lang w:eastAsia="en-GB"/>
        </w:rPr>
        <w:t>inter alia</w:t>
      </w:r>
      <w:r w:rsidRPr="00B41433">
        <w:rPr>
          <w:rFonts w:eastAsia="Times New Roman" w:cs="Arial"/>
          <w:szCs w:val="18"/>
          <w:lang w:eastAsia="en-GB"/>
        </w:rPr>
        <w:t>:</w:t>
      </w:r>
    </w:p>
    <w:p w14:paraId="785C78E9" w14:textId="4FF1BEA4" w:rsidR="00B41433" w:rsidRPr="00B41433" w:rsidRDefault="00B41433" w:rsidP="00B41433">
      <w:pPr>
        <w:pStyle w:val="ListParagraph"/>
        <w:numPr>
          <w:ilvl w:val="0"/>
          <w:numId w:val="7"/>
        </w:numPr>
        <w:spacing w:after="0"/>
        <w:ind w:left="567" w:hanging="283"/>
        <w:jc w:val="both"/>
        <w:rPr>
          <w:rFonts w:cs="Arial"/>
          <w:szCs w:val="18"/>
        </w:rPr>
      </w:pPr>
      <w:r w:rsidRPr="00B41433">
        <w:rPr>
          <w:rFonts w:cs="Arial"/>
          <w:szCs w:val="18"/>
        </w:rPr>
        <w:t>early visibility and commitment to the pipeline of programme opportunities or the specific project</w:t>
      </w:r>
    </w:p>
    <w:p w14:paraId="64869BF5" w14:textId="57004FB8" w:rsidR="00B41433" w:rsidRPr="00B41433" w:rsidRDefault="00B41433" w:rsidP="00B41433">
      <w:pPr>
        <w:pStyle w:val="ListParagraph"/>
        <w:numPr>
          <w:ilvl w:val="0"/>
          <w:numId w:val="7"/>
        </w:numPr>
        <w:spacing w:after="0"/>
        <w:ind w:left="567" w:hanging="283"/>
        <w:jc w:val="both"/>
        <w:rPr>
          <w:rFonts w:cs="Arial"/>
          <w:szCs w:val="18"/>
        </w:rPr>
      </w:pPr>
      <w:r w:rsidRPr="00B41433">
        <w:rPr>
          <w:rFonts w:cs="Arial"/>
          <w:szCs w:val="18"/>
        </w:rPr>
        <w:t>clearly articulated sponsor requirements adopting whole life principles linked to service outcomes  that define the project or programme requirement</w:t>
      </w:r>
    </w:p>
    <w:p w14:paraId="1B19F7BF" w14:textId="3407EEF9" w:rsidR="00B41433" w:rsidRPr="00B41433" w:rsidRDefault="00B41433" w:rsidP="00B41433">
      <w:pPr>
        <w:pStyle w:val="ListParagraph"/>
        <w:numPr>
          <w:ilvl w:val="0"/>
          <w:numId w:val="7"/>
        </w:numPr>
        <w:spacing w:after="0"/>
        <w:ind w:left="567" w:hanging="283"/>
        <w:jc w:val="both"/>
        <w:rPr>
          <w:rFonts w:cs="Arial"/>
          <w:szCs w:val="18"/>
        </w:rPr>
      </w:pPr>
      <w:r w:rsidRPr="00B41433">
        <w:rPr>
          <w:rFonts w:cs="Arial"/>
          <w:szCs w:val="18"/>
        </w:rPr>
        <w:t>effective governance, accountability and timely decision making</w:t>
      </w:r>
    </w:p>
    <w:p w14:paraId="4E4229E3" w14:textId="0DCB0EF6" w:rsidR="00B41433" w:rsidRPr="00B41433" w:rsidRDefault="00B41433" w:rsidP="00B41433">
      <w:pPr>
        <w:pStyle w:val="ListParagraph"/>
        <w:numPr>
          <w:ilvl w:val="0"/>
          <w:numId w:val="7"/>
        </w:numPr>
        <w:spacing w:after="0"/>
        <w:ind w:left="567" w:hanging="283"/>
        <w:jc w:val="both"/>
        <w:rPr>
          <w:rFonts w:cs="Arial"/>
          <w:szCs w:val="18"/>
        </w:rPr>
      </w:pPr>
      <w:r w:rsidRPr="00B41433">
        <w:rPr>
          <w:rFonts w:cs="Arial"/>
          <w:szCs w:val="18"/>
        </w:rPr>
        <w:t>early supplier engagement that engages all tiers of the supply chain</w:t>
      </w:r>
    </w:p>
    <w:p w14:paraId="4FAF4B80" w14:textId="59321384" w:rsidR="00B41433" w:rsidRPr="00B41433" w:rsidRDefault="00B41433" w:rsidP="00B41433">
      <w:pPr>
        <w:pStyle w:val="ListParagraph"/>
        <w:numPr>
          <w:ilvl w:val="0"/>
          <w:numId w:val="7"/>
        </w:numPr>
        <w:spacing w:after="0"/>
        <w:ind w:left="567" w:hanging="283"/>
        <w:jc w:val="both"/>
        <w:rPr>
          <w:rFonts w:cs="Arial"/>
          <w:szCs w:val="18"/>
        </w:rPr>
      </w:pPr>
      <w:r w:rsidRPr="00B41433">
        <w:rPr>
          <w:rFonts w:cs="Arial"/>
          <w:szCs w:val="18"/>
        </w:rPr>
        <w:t>effective use and structuring of standard contracts such as the NEC suite to align risk, reward and  behaviours in an integrated supply chain</w:t>
      </w:r>
    </w:p>
    <w:p w14:paraId="28F02F21" w14:textId="334F5D8E" w:rsidR="00B41433" w:rsidRPr="00B41433" w:rsidRDefault="00B41433" w:rsidP="00B41433">
      <w:pPr>
        <w:pStyle w:val="ListParagraph"/>
        <w:numPr>
          <w:ilvl w:val="0"/>
          <w:numId w:val="7"/>
        </w:numPr>
        <w:spacing w:after="0"/>
        <w:ind w:left="567" w:hanging="283"/>
        <w:jc w:val="both"/>
        <w:rPr>
          <w:rFonts w:cs="Arial"/>
          <w:szCs w:val="18"/>
        </w:rPr>
      </w:pPr>
      <w:r w:rsidRPr="00B41433">
        <w:rPr>
          <w:rFonts w:cs="Arial"/>
          <w:szCs w:val="18"/>
        </w:rPr>
        <w:t>appropriate incentive-driven approaches that stimulate further integration of the supply chain</w:t>
      </w:r>
    </w:p>
    <w:p w14:paraId="1BABAC99" w14:textId="288650C1" w:rsidR="00B41433" w:rsidRPr="00B41433" w:rsidRDefault="00B41433" w:rsidP="00B41433">
      <w:pPr>
        <w:pStyle w:val="ListParagraph"/>
        <w:numPr>
          <w:ilvl w:val="0"/>
          <w:numId w:val="7"/>
        </w:numPr>
        <w:spacing w:after="0"/>
        <w:ind w:left="567" w:hanging="283"/>
        <w:jc w:val="both"/>
        <w:rPr>
          <w:rFonts w:cs="Arial"/>
          <w:szCs w:val="18"/>
        </w:rPr>
      </w:pPr>
      <w:proofErr w:type="gramStart"/>
      <w:r w:rsidRPr="00B41433">
        <w:rPr>
          <w:rFonts w:cs="Arial"/>
          <w:szCs w:val="18"/>
        </w:rPr>
        <w:t>an</w:t>
      </w:r>
      <w:proofErr w:type="gramEnd"/>
      <w:r w:rsidRPr="00B41433">
        <w:rPr>
          <w:rFonts w:cs="Arial"/>
          <w:szCs w:val="18"/>
        </w:rPr>
        <w:t xml:space="preserve"> environment that encourages innovation and departures from standards that embed cost and add no value to the outcome or safety.</w:t>
      </w:r>
    </w:p>
    <w:p w14:paraId="240924C7" w14:textId="22A437C5" w:rsidR="00B41433" w:rsidRPr="00B41433" w:rsidRDefault="00B41433" w:rsidP="00B41433">
      <w:pPr>
        <w:pStyle w:val="ListParagraph"/>
        <w:numPr>
          <w:ilvl w:val="0"/>
          <w:numId w:val="2"/>
        </w:numPr>
        <w:spacing w:after="0"/>
        <w:ind w:left="284" w:hanging="284"/>
        <w:jc w:val="both"/>
        <w:rPr>
          <w:rFonts w:eastAsia="Times New Roman" w:cs="Arial"/>
          <w:szCs w:val="18"/>
          <w:lang w:eastAsia="en-GB"/>
        </w:rPr>
      </w:pPr>
      <w:r w:rsidRPr="00B41433">
        <w:rPr>
          <w:rFonts w:eastAsia="Times New Roman" w:cs="Arial"/>
          <w:szCs w:val="18"/>
          <w:lang w:eastAsia="en-GB"/>
        </w:rPr>
        <w:t>Pragmatic approaches to compliance with EU procurement legislation.</w:t>
      </w:r>
    </w:p>
    <w:p w14:paraId="53501594" w14:textId="041EAA35" w:rsidR="001D6CCC" w:rsidRPr="00B41433" w:rsidRDefault="00B41433" w:rsidP="00B41433">
      <w:pPr>
        <w:pStyle w:val="ListParagraph"/>
        <w:numPr>
          <w:ilvl w:val="0"/>
          <w:numId w:val="2"/>
        </w:numPr>
        <w:spacing w:after="0"/>
        <w:ind w:left="284" w:hanging="284"/>
        <w:jc w:val="both"/>
        <w:rPr>
          <w:rFonts w:eastAsia="Times New Roman" w:cs="Arial"/>
          <w:szCs w:val="18"/>
          <w:lang w:eastAsia="en-GB"/>
        </w:rPr>
      </w:pPr>
      <w:r w:rsidRPr="00B41433">
        <w:rPr>
          <w:rFonts w:eastAsia="Times New Roman" w:cs="Arial"/>
          <w:szCs w:val="18"/>
          <w:lang w:eastAsia="en-GB"/>
        </w:rPr>
        <w:t>An ongoing role for industry leaders and experts in the infrastructure sector to identify, develop and disseminate best practice.</w:t>
      </w:r>
      <w:r w:rsidR="001D6CCC" w:rsidRPr="00B41433">
        <w:rPr>
          <w:rFonts w:eastAsia="Times New Roman" w:cs="Arial"/>
          <w:szCs w:val="18"/>
          <w:lang w:eastAsia="en-GB"/>
        </w:rPr>
        <w:t xml:space="preserve"> </w:t>
      </w:r>
    </w:p>
    <w:p w14:paraId="6F8EFA6C" w14:textId="77777777" w:rsidR="00B41433" w:rsidRDefault="00B41433" w:rsidP="001D6CCC">
      <w:pPr>
        <w:spacing w:after="0"/>
        <w:jc w:val="both"/>
        <w:rPr>
          <w:rFonts w:cs="Arial"/>
          <w:szCs w:val="18"/>
        </w:rPr>
      </w:pPr>
    </w:p>
    <w:p w14:paraId="24C2E933" w14:textId="2C133120" w:rsidR="008870CA" w:rsidRDefault="00E64B08" w:rsidP="007217BD">
      <w:pPr>
        <w:spacing w:after="0"/>
        <w:jc w:val="both"/>
        <w:rPr>
          <w:sz w:val="18"/>
          <w:szCs w:val="18"/>
        </w:rPr>
      </w:pPr>
      <w:r w:rsidRPr="00E601F2">
        <w:rPr>
          <w:rFonts w:cs="Arial"/>
          <w:i/>
          <w:sz w:val="18"/>
          <w:szCs w:val="18"/>
        </w:rPr>
        <w:t>Source</w:t>
      </w:r>
      <w:r w:rsidRPr="00E601F2">
        <w:rPr>
          <w:rFonts w:cs="Arial"/>
          <w:sz w:val="18"/>
          <w:szCs w:val="18"/>
        </w:rPr>
        <w:t xml:space="preserve">: </w:t>
      </w:r>
      <w:r w:rsidR="00EC5998">
        <w:rPr>
          <w:sz w:val="18"/>
          <w:szCs w:val="18"/>
          <w:shd w:val="clear" w:color="auto" w:fill="FFFFFF"/>
        </w:rPr>
        <w:t>OECD (2015), </w:t>
      </w:r>
      <w:hyperlink r:id="rId12" w:history="1">
        <w:r w:rsidR="00EC5998" w:rsidRPr="001231B4">
          <w:rPr>
            <w:rStyle w:val="Hyperlink"/>
            <w:i/>
            <w:sz w:val="18"/>
            <w:szCs w:val="18"/>
            <w:bdr w:val="none" w:sz="0" w:space="0" w:color="auto" w:frame="1"/>
            <w:shd w:val="clear" w:color="auto" w:fill="FFFFFF"/>
          </w:rPr>
          <w:t>Effective Delivery of Large Infrastructure Projects: The Case of the New International Airport of Mexico City</w:t>
        </w:r>
      </w:hyperlink>
      <w:r w:rsidR="00EC5998">
        <w:rPr>
          <w:sz w:val="18"/>
          <w:szCs w:val="18"/>
          <w:shd w:val="clear" w:color="auto" w:fill="FFFFFF"/>
        </w:rPr>
        <w:t xml:space="preserve">, OECD Publishing, </w:t>
      </w:r>
      <w:proofErr w:type="gramStart"/>
      <w:r w:rsidR="00EC5998">
        <w:rPr>
          <w:sz w:val="18"/>
          <w:szCs w:val="18"/>
          <w:shd w:val="clear" w:color="auto" w:fill="FFFFFF"/>
        </w:rPr>
        <w:t>Paris</w:t>
      </w:r>
      <w:proofErr w:type="gramEnd"/>
      <w:r w:rsidR="00D45B2A">
        <w:rPr>
          <w:sz w:val="18"/>
          <w:szCs w:val="18"/>
          <w:shd w:val="clear" w:color="auto" w:fill="FFFFFF"/>
        </w:rPr>
        <w:t>.</w:t>
      </w:r>
      <w:r w:rsidR="007217BD">
        <w:rPr>
          <w:rStyle w:val="apple-converted-space"/>
          <w:sz w:val="18"/>
          <w:szCs w:val="18"/>
          <w:shd w:val="clear" w:color="auto" w:fill="FFFFFF"/>
        </w:rPr>
        <w:t> </w:t>
      </w:r>
    </w:p>
    <w:sectPr w:rsidR="008870CA" w:rsidSect="00084254">
      <w:headerReference w:type="default" r:id="rId13"/>
      <w:footerReference w:type="default" r:id="rId14"/>
      <w:footerReference w:type="first" r:id="rId15"/>
      <w:pgSz w:w="11906" w:h="16838"/>
      <w:pgMar w:top="1440" w:right="1440" w:bottom="1440" w:left="1276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4611F3" w14:textId="77777777" w:rsidR="002265B4" w:rsidRDefault="002265B4" w:rsidP="00661B8E">
      <w:pPr>
        <w:spacing w:after="0" w:line="240" w:lineRule="auto"/>
      </w:pPr>
      <w:r>
        <w:separator/>
      </w:r>
    </w:p>
  </w:endnote>
  <w:endnote w:type="continuationSeparator" w:id="0">
    <w:p w14:paraId="6760206A" w14:textId="77777777" w:rsidR="002265B4" w:rsidRDefault="002265B4" w:rsidP="00661B8E">
      <w:pPr>
        <w:spacing w:after="0" w:line="240" w:lineRule="auto"/>
      </w:pPr>
      <w:r>
        <w:continuationSeparator/>
      </w:r>
    </w:p>
  </w:endnote>
  <w:endnote w:type="continuationNotice" w:id="1">
    <w:p w14:paraId="53F037BA" w14:textId="77777777" w:rsidR="003B1E3F" w:rsidRDefault="003B1E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ABCCE" w14:textId="5C0C498A" w:rsidR="002265B4" w:rsidRPr="00CE4BA4" w:rsidRDefault="002265B4" w:rsidP="00084254">
    <w:pPr>
      <w:pStyle w:val="Header"/>
      <w:tabs>
        <w:tab w:val="clear" w:pos="4513"/>
      </w:tabs>
      <w:jc w:val="right"/>
    </w:pPr>
    <w:r>
      <w:rPr>
        <w:noProof/>
        <w:lang w:eastAsia="ko-KR"/>
      </w:rPr>
      <w:drawing>
        <wp:anchor distT="0" distB="0" distL="114300" distR="114300" simplePos="0" relativeHeight="251659776" behindDoc="1" locked="0" layoutInCell="1" allowOverlap="1" wp14:anchorId="383F1977" wp14:editId="7BE2EA49">
          <wp:simplePos x="0" y="0"/>
          <wp:positionH relativeFrom="column">
            <wp:posOffset>4676140</wp:posOffset>
          </wp:positionH>
          <wp:positionV relativeFrom="paragraph">
            <wp:posOffset>-2722876</wp:posOffset>
          </wp:positionV>
          <wp:extent cx="2095500" cy="3341077"/>
          <wp:effectExtent l="0" t="0" r="0" b="0"/>
          <wp:wrapNone/>
          <wp:docPr id="1025" name="Picture 1025" descr="\\FS-CH-1.main.oecd.org\Users2\gigou_t\GOV\Public Procurement\Web toolkit\cubes for pdf template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\\FS-CH-1.main.oecd.org\Users2\gigou_t\GOV\Public Procurement\Web toolkit\cubes for pdf template3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519" b="10588"/>
                  <a:stretch/>
                </pic:blipFill>
                <pic:spPr bwMode="auto">
                  <a:xfrm>
                    <a:off x="0" y="0"/>
                    <a:ext cx="2095500" cy="33410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56271"/>
        <w:sz w:val="40"/>
        <w:lang w:eastAsia="ko-KR"/>
      </w:rPr>
      <w:drawing>
        <wp:anchor distT="0" distB="0" distL="114300" distR="114300" simplePos="0" relativeHeight="251658752" behindDoc="0" locked="0" layoutInCell="1" allowOverlap="1" wp14:anchorId="2E2964ED" wp14:editId="4B42FFC2">
          <wp:simplePos x="0" y="0"/>
          <wp:positionH relativeFrom="margin">
            <wp:align>center</wp:align>
          </wp:positionH>
          <wp:positionV relativeFrom="paragraph">
            <wp:posOffset>-353060</wp:posOffset>
          </wp:positionV>
          <wp:extent cx="1260000" cy="299994"/>
          <wp:effectExtent l="0" t="0" r="0" b="0"/>
          <wp:wrapNone/>
          <wp:docPr id="1027" name="Picture 10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CD_20c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2999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4BA4">
      <w:t xml:space="preserve">©OECD </w:t>
    </w:r>
    <w:proofErr w:type="gramStart"/>
    <w:r w:rsidRPr="00CE4BA4">
      <w:t>2016</w:t>
    </w:r>
    <w:r>
      <w:t xml:space="preserve"> </w:t>
    </w:r>
    <w:r w:rsidRPr="00CE4BA4">
      <w:t xml:space="preserve"> </w:t>
    </w:r>
    <w:proofErr w:type="gramEnd"/>
    <w:r>
      <w:ptab w:relativeTo="margin" w:alignment="center" w:leader="none"/>
    </w:r>
    <w:r w:rsidRPr="00CE4BA4">
      <w:t xml:space="preserve">oe.cd/procurement-toolbox </w:t>
    </w:r>
    <w:r>
      <w:t xml:space="preserve">           </w:t>
    </w:r>
    <w:r w:rsidRPr="00CE4BA4">
      <w:t xml:space="preserve">                                              </w:t>
    </w:r>
    <w:r>
      <w:t xml:space="preserve"> </w:t>
    </w:r>
    <w:r w:rsidRPr="00084254">
      <w:rPr>
        <w:b/>
      </w:rPr>
      <w:ptab w:relativeTo="margin" w:alignment="right" w:leader="none"/>
    </w:r>
    <w:r w:rsidRPr="00084254">
      <w:rPr>
        <w:b/>
        <w:color w:val="215868" w:themeColor="accent5" w:themeShade="80"/>
      </w:rPr>
      <w:fldChar w:fldCharType="begin"/>
    </w:r>
    <w:r w:rsidRPr="00084254">
      <w:rPr>
        <w:b/>
        <w:color w:val="215868" w:themeColor="accent5" w:themeShade="80"/>
      </w:rPr>
      <w:instrText xml:space="preserve"> PAGE  \* Arabic  \* MERGEFORMAT </w:instrText>
    </w:r>
    <w:r w:rsidRPr="00084254">
      <w:rPr>
        <w:b/>
        <w:color w:val="215868" w:themeColor="accent5" w:themeShade="80"/>
      </w:rPr>
      <w:fldChar w:fldCharType="separate"/>
    </w:r>
    <w:r w:rsidR="001463B4">
      <w:rPr>
        <w:b/>
        <w:noProof/>
        <w:color w:val="215868" w:themeColor="accent5" w:themeShade="80"/>
      </w:rPr>
      <w:t>1</w:t>
    </w:r>
    <w:r w:rsidRPr="00084254">
      <w:rPr>
        <w:b/>
        <w:color w:val="215868" w:themeColor="accent5" w:themeShade="80"/>
      </w:rPr>
      <w:fldChar w:fldCharType="end"/>
    </w:r>
    <w:r w:rsidRPr="00084254">
      <w:rPr>
        <w:b/>
        <w:color w:val="215868" w:themeColor="accent5" w:themeShade="80"/>
      </w:rPr>
      <w:t>/</w:t>
    </w:r>
    <w:r w:rsidRPr="00084254">
      <w:rPr>
        <w:b/>
        <w:color w:val="215868" w:themeColor="accent5" w:themeShade="80"/>
      </w:rPr>
      <w:fldChar w:fldCharType="begin"/>
    </w:r>
    <w:r w:rsidRPr="00084254">
      <w:rPr>
        <w:b/>
        <w:color w:val="215868" w:themeColor="accent5" w:themeShade="80"/>
      </w:rPr>
      <w:instrText xml:space="preserve"> NUMPAGES  \* Arabic  \* MERGEFORMAT </w:instrText>
    </w:r>
    <w:r w:rsidRPr="00084254">
      <w:rPr>
        <w:b/>
        <w:color w:val="215868" w:themeColor="accent5" w:themeShade="80"/>
      </w:rPr>
      <w:fldChar w:fldCharType="separate"/>
    </w:r>
    <w:r w:rsidR="001463B4">
      <w:rPr>
        <w:b/>
        <w:noProof/>
        <w:color w:val="215868" w:themeColor="accent5" w:themeShade="80"/>
      </w:rPr>
      <w:t>1</w:t>
    </w:r>
    <w:r w:rsidRPr="00084254">
      <w:rPr>
        <w:b/>
        <w:color w:val="215868" w:themeColor="accent5" w:themeShade="8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EE751" w14:textId="570F7A8A" w:rsidR="002265B4" w:rsidRDefault="002265B4" w:rsidP="00387B0B">
    <w:pPr>
      <w:pStyle w:val="Footer"/>
      <w:jc w:val="right"/>
    </w:pPr>
    <w:r>
      <w:rPr>
        <w:noProof/>
        <w:color w:val="056271"/>
        <w:sz w:val="40"/>
        <w:lang w:eastAsia="ko-KR"/>
      </w:rPr>
      <w:drawing>
        <wp:anchor distT="0" distB="0" distL="114300" distR="114300" simplePos="0" relativeHeight="251657728" behindDoc="1" locked="0" layoutInCell="1" allowOverlap="1" wp14:anchorId="07DCD63B" wp14:editId="645A9E73">
          <wp:simplePos x="0" y="0"/>
          <wp:positionH relativeFrom="column">
            <wp:posOffset>4673600</wp:posOffset>
          </wp:positionH>
          <wp:positionV relativeFrom="paragraph">
            <wp:posOffset>-2100580</wp:posOffset>
          </wp:positionV>
          <wp:extent cx="1955800" cy="3079750"/>
          <wp:effectExtent l="0" t="0" r="0" b="0"/>
          <wp:wrapNone/>
          <wp:docPr id="1028" name="Picture 1028" descr="\\FS-CH-1.main.oecd.org\Users2\gigou_t\GOV\Public Procurement\Web toolkit\cubes for pdf templat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\\FS-CH-1.main.oecd.org\Users2\gigou_t\GOV\Public Procurement\Web toolkit\cubes for pdf template2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819" r="1" b="6177"/>
                  <a:stretch/>
                </pic:blipFill>
                <pic:spPr bwMode="auto">
                  <a:xfrm flipH="1">
                    <a:off x="0" y="0"/>
                    <a:ext cx="1955800" cy="307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-KR"/>
      </w:rPr>
      <w:drawing>
        <wp:anchor distT="0" distB="0" distL="114300" distR="114300" simplePos="0" relativeHeight="251656704" behindDoc="0" locked="0" layoutInCell="1" allowOverlap="1" wp14:anchorId="22D34111" wp14:editId="037D8DFA">
          <wp:simplePos x="0" y="0"/>
          <wp:positionH relativeFrom="column">
            <wp:posOffset>2006600</wp:posOffset>
          </wp:positionH>
          <wp:positionV relativeFrom="paragraph">
            <wp:posOffset>-129540</wp:posOffset>
          </wp:positionV>
          <wp:extent cx="1760855" cy="419100"/>
          <wp:effectExtent l="0" t="0" r="0" b="0"/>
          <wp:wrapSquare wrapText="bothSides"/>
          <wp:docPr id="1029" name="Picture 10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CD_20cm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855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ED09FC" w14:textId="77777777" w:rsidR="002265B4" w:rsidRDefault="002265B4" w:rsidP="00387B0B">
    <w:pPr>
      <w:pStyle w:val="Footer"/>
      <w:jc w:val="right"/>
    </w:pPr>
  </w:p>
  <w:p w14:paraId="119A39E3" w14:textId="1C31E31F" w:rsidR="002265B4" w:rsidRPr="000D5C73" w:rsidRDefault="002265B4" w:rsidP="00387B0B">
    <w:pPr>
      <w:pStyle w:val="Footer"/>
      <w:jc w:val="right"/>
      <w:rPr>
        <w:sz w:val="20"/>
      </w:rPr>
    </w:pPr>
    <w:r w:rsidRPr="000D5C73">
      <w:rPr>
        <w:sz w:val="20"/>
      </w:rPr>
      <w:t>©OECD 2016</w:t>
    </w:r>
    <w:r w:rsidRPr="000D5C73">
      <w:rPr>
        <w:sz w:val="20"/>
      </w:rPr>
      <w:tab/>
      <w:t xml:space="preserve">oe.cd/procurement-toolbox </w:t>
    </w:r>
    <w:r w:rsidRPr="000D5C73">
      <w:rPr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1FABF0" w14:textId="77777777" w:rsidR="002265B4" w:rsidRDefault="002265B4" w:rsidP="00661B8E">
      <w:pPr>
        <w:spacing w:after="0" w:line="240" w:lineRule="auto"/>
      </w:pPr>
      <w:r>
        <w:separator/>
      </w:r>
    </w:p>
  </w:footnote>
  <w:footnote w:type="continuationSeparator" w:id="0">
    <w:p w14:paraId="1D985AF3" w14:textId="77777777" w:rsidR="002265B4" w:rsidRDefault="002265B4" w:rsidP="00661B8E">
      <w:pPr>
        <w:spacing w:after="0" w:line="240" w:lineRule="auto"/>
      </w:pPr>
      <w:r>
        <w:continuationSeparator/>
      </w:r>
    </w:p>
  </w:footnote>
  <w:footnote w:type="continuationNotice" w:id="1">
    <w:p w14:paraId="37E2A1D0" w14:textId="77777777" w:rsidR="003B1E3F" w:rsidRDefault="003B1E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03735" w14:textId="0E694CAD" w:rsidR="002265B4" w:rsidRPr="006E43F5" w:rsidRDefault="002265B4" w:rsidP="00EC5998">
    <w:pPr>
      <w:pStyle w:val="Header"/>
      <w:tabs>
        <w:tab w:val="center" w:pos="3261"/>
        <w:tab w:val="right" w:pos="9214"/>
      </w:tabs>
      <w:ind w:left="1134" w:right="-24"/>
      <w:jc w:val="right"/>
    </w:pPr>
    <w:r>
      <w:rPr>
        <w:noProof/>
        <w:lang w:eastAsia="ko-KR"/>
      </w:rPr>
      <w:drawing>
        <wp:anchor distT="0" distB="0" distL="114300" distR="114300" simplePos="0" relativeHeight="251663872" behindDoc="0" locked="0" layoutInCell="1" allowOverlap="1" wp14:anchorId="398E072F" wp14:editId="73576C4E">
          <wp:simplePos x="0" y="0"/>
          <wp:positionH relativeFrom="column">
            <wp:posOffset>-59055</wp:posOffset>
          </wp:positionH>
          <wp:positionV relativeFrom="paragraph">
            <wp:posOffset>-235585</wp:posOffset>
          </wp:positionV>
          <wp:extent cx="1308100" cy="662471"/>
          <wp:effectExtent l="0" t="0" r="0" b="0"/>
          <wp:wrapNone/>
          <wp:docPr id="1024" name="Picture 1024" descr="\\FS-CH-1.main.oecd.org\Users2\Gigou_T\GOV\Public Procurement\Web toolkit\Bannr\PP-banner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S-CH-1.main.oecd.org\Users2\Gigou_T\GOV\Public Procurement\Web toolkit\Bannr\PP-banner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662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1433" w:rsidRPr="00B41433">
      <w:t xml:space="preserve"> </w:t>
    </w:r>
    <w:r w:rsidR="00B41433" w:rsidRPr="00B41433">
      <w:rPr>
        <w:noProof/>
        <w:lang w:eastAsia="ko-KR"/>
      </w:rPr>
      <w:t>The UK infrastructure procurement routemap</w:t>
    </w:r>
    <w:r w:rsidR="00675B3B" w:rsidRPr="00675B3B">
      <w:rPr>
        <w:noProof/>
        <w:lang w:eastAsia="ko-KR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2B5A"/>
    <w:multiLevelType w:val="hybridMultilevel"/>
    <w:tmpl w:val="C536436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B05A1"/>
    <w:multiLevelType w:val="hybridMultilevel"/>
    <w:tmpl w:val="2800F58E"/>
    <w:lvl w:ilvl="0" w:tplc="5688F02A">
      <w:numFmt w:val="bullet"/>
      <w:lvlText w:val="−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854BA"/>
    <w:multiLevelType w:val="multilevel"/>
    <w:tmpl w:val="32660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0A57202"/>
    <w:multiLevelType w:val="hybridMultilevel"/>
    <w:tmpl w:val="8B5E1DAC"/>
    <w:lvl w:ilvl="0" w:tplc="18E8C5FA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85E4D"/>
    <w:multiLevelType w:val="hybridMultilevel"/>
    <w:tmpl w:val="FA182A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B3057"/>
    <w:multiLevelType w:val="hybridMultilevel"/>
    <w:tmpl w:val="78E20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EC7BB8"/>
    <w:multiLevelType w:val="hybridMultilevel"/>
    <w:tmpl w:val="F642CFA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F4334E"/>
    <w:multiLevelType w:val="hybridMultilevel"/>
    <w:tmpl w:val="F78A0BF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43009">
      <o:colormru v:ext="edit" colors="#c7f1e9"/>
      <o:colormenu v:ext="edit" fillcolor="none" strokecolor="non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421629"/>
    <w:rsid w:val="00012DC9"/>
    <w:rsid w:val="0002025A"/>
    <w:rsid w:val="00037CB6"/>
    <w:rsid w:val="0005396F"/>
    <w:rsid w:val="00061D95"/>
    <w:rsid w:val="00084254"/>
    <w:rsid w:val="000A12C2"/>
    <w:rsid w:val="000D5C73"/>
    <w:rsid w:val="000D7E3F"/>
    <w:rsid w:val="000E1DC2"/>
    <w:rsid w:val="001068B4"/>
    <w:rsid w:val="00112E90"/>
    <w:rsid w:val="001463B4"/>
    <w:rsid w:val="001C7E92"/>
    <w:rsid w:val="001D6CCC"/>
    <w:rsid w:val="001D744C"/>
    <w:rsid w:val="002265B4"/>
    <w:rsid w:val="00257D0B"/>
    <w:rsid w:val="0027003F"/>
    <w:rsid w:val="002C677F"/>
    <w:rsid w:val="003419B8"/>
    <w:rsid w:val="00357DC1"/>
    <w:rsid w:val="00387B0B"/>
    <w:rsid w:val="0039420C"/>
    <w:rsid w:val="003B1E3F"/>
    <w:rsid w:val="00412B86"/>
    <w:rsid w:val="004167CF"/>
    <w:rsid w:val="00421629"/>
    <w:rsid w:val="00430E12"/>
    <w:rsid w:val="00430E23"/>
    <w:rsid w:val="00456DA4"/>
    <w:rsid w:val="00487D3C"/>
    <w:rsid w:val="004D1B64"/>
    <w:rsid w:val="004F7B52"/>
    <w:rsid w:val="005A286B"/>
    <w:rsid w:val="005D334B"/>
    <w:rsid w:val="006031EB"/>
    <w:rsid w:val="00630DC4"/>
    <w:rsid w:val="00633089"/>
    <w:rsid w:val="00661B8E"/>
    <w:rsid w:val="00666D63"/>
    <w:rsid w:val="00667DF9"/>
    <w:rsid w:val="00675B3B"/>
    <w:rsid w:val="006A7F66"/>
    <w:rsid w:val="006C6816"/>
    <w:rsid w:val="006C69EA"/>
    <w:rsid w:val="006E43F5"/>
    <w:rsid w:val="00710F4E"/>
    <w:rsid w:val="00721287"/>
    <w:rsid w:val="007217BD"/>
    <w:rsid w:val="00762676"/>
    <w:rsid w:val="00766130"/>
    <w:rsid w:val="007D19B7"/>
    <w:rsid w:val="007E1191"/>
    <w:rsid w:val="008004F9"/>
    <w:rsid w:val="00800DE1"/>
    <w:rsid w:val="00827EAD"/>
    <w:rsid w:val="00857201"/>
    <w:rsid w:val="008721AD"/>
    <w:rsid w:val="0087382C"/>
    <w:rsid w:val="008870CA"/>
    <w:rsid w:val="00903F97"/>
    <w:rsid w:val="00923EE3"/>
    <w:rsid w:val="0092534D"/>
    <w:rsid w:val="00976304"/>
    <w:rsid w:val="009849D5"/>
    <w:rsid w:val="009F1612"/>
    <w:rsid w:val="009F2583"/>
    <w:rsid w:val="00A16673"/>
    <w:rsid w:val="00A458EC"/>
    <w:rsid w:val="00A50B1C"/>
    <w:rsid w:val="00AB6230"/>
    <w:rsid w:val="00B006AB"/>
    <w:rsid w:val="00B41433"/>
    <w:rsid w:val="00B55563"/>
    <w:rsid w:val="00B60842"/>
    <w:rsid w:val="00C0466C"/>
    <w:rsid w:val="00C30838"/>
    <w:rsid w:val="00C4034A"/>
    <w:rsid w:val="00C657F5"/>
    <w:rsid w:val="00C716E3"/>
    <w:rsid w:val="00C95266"/>
    <w:rsid w:val="00CA325C"/>
    <w:rsid w:val="00CD7D8C"/>
    <w:rsid w:val="00CE4BA4"/>
    <w:rsid w:val="00CF0FA7"/>
    <w:rsid w:val="00CF74B9"/>
    <w:rsid w:val="00D20FBC"/>
    <w:rsid w:val="00D33FC4"/>
    <w:rsid w:val="00D45B2A"/>
    <w:rsid w:val="00D97E65"/>
    <w:rsid w:val="00DB2314"/>
    <w:rsid w:val="00DB3F79"/>
    <w:rsid w:val="00DB553D"/>
    <w:rsid w:val="00DC23C5"/>
    <w:rsid w:val="00DD0BF3"/>
    <w:rsid w:val="00DD2F88"/>
    <w:rsid w:val="00DD49F6"/>
    <w:rsid w:val="00DD587F"/>
    <w:rsid w:val="00DE3FAA"/>
    <w:rsid w:val="00E00BBC"/>
    <w:rsid w:val="00E16D40"/>
    <w:rsid w:val="00E33158"/>
    <w:rsid w:val="00E601F2"/>
    <w:rsid w:val="00E62221"/>
    <w:rsid w:val="00E64B08"/>
    <w:rsid w:val="00EA32C0"/>
    <w:rsid w:val="00EB4639"/>
    <w:rsid w:val="00EC5998"/>
    <w:rsid w:val="00EC72AB"/>
    <w:rsid w:val="00ED7A3D"/>
    <w:rsid w:val="00F44C39"/>
    <w:rsid w:val="00F53FDD"/>
    <w:rsid w:val="00F75414"/>
    <w:rsid w:val="00F77F33"/>
    <w:rsid w:val="00F9567E"/>
    <w:rsid w:val="00FB579F"/>
    <w:rsid w:val="00FC2057"/>
    <w:rsid w:val="00FE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o:colormru v:ext="edit" colors="#c7f1e9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78BFD9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62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F2583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61B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B8E"/>
  </w:style>
  <w:style w:type="paragraph" w:styleId="Footer">
    <w:name w:val="footer"/>
    <w:basedOn w:val="Normal"/>
    <w:link w:val="FooterChar"/>
    <w:uiPriority w:val="99"/>
    <w:unhideWhenUsed/>
    <w:rsid w:val="00661B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B8E"/>
  </w:style>
  <w:style w:type="table" w:styleId="TableGrid">
    <w:name w:val="Table Grid"/>
    <w:basedOn w:val="TableNormal"/>
    <w:uiPriority w:val="59"/>
    <w:rsid w:val="0041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7D8C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EA32C0"/>
    <w:rPr>
      <w:i/>
      <w:iCs/>
    </w:rPr>
  </w:style>
  <w:style w:type="character" w:customStyle="1" w:styleId="apple-converted-space">
    <w:name w:val="apple-converted-space"/>
    <w:basedOn w:val="DefaultParagraphFont"/>
    <w:rsid w:val="00C0466C"/>
  </w:style>
  <w:style w:type="paragraph" w:styleId="ListParagraph">
    <w:name w:val="List Paragraph"/>
    <w:basedOn w:val="Normal"/>
    <w:uiPriority w:val="34"/>
    <w:qFormat/>
    <w:rsid w:val="00DD2F88"/>
    <w:pPr>
      <w:ind w:left="720"/>
      <w:contextualSpacing/>
    </w:pPr>
  </w:style>
  <w:style w:type="paragraph" w:customStyle="1" w:styleId="ColumnsHeading">
    <w:name w:val="Columns Heading"/>
    <w:basedOn w:val="Normal"/>
    <w:rsid w:val="00DD2F88"/>
    <w:pPr>
      <w:spacing w:after="0" w:line="240" w:lineRule="auto"/>
      <w:jc w:val="both"/>
    </w:pPr>
    <w:rPr>
      <w:rFonts w:ascii="Arial Narrow" w:eastAsia="Times New Roman" w:hAnsi="Arial Narrow" w:cs="Times New Roman"/>
      <w:sz w:val="17"/>
      <w:szCs w:val="17"/>
    </w:rPr>
  </w:style>
  <w:style w:type="paragraph" w:customStyle="1" w:styleId="Cell">
    <w:name w:val="Cell"/>
    <w:basedOn w:val="Normal"/>
    <w:rsid w:val="00DD2F88"/>
    <w:pPr>
      <w:spacing w:after="0" w:line="240" w:lineRule="auto"/>
      <w:jc w:val="both"/>
    </w:pPr>
    <w:rPr>
      <w:rFonts w:ascii="Arial Narrow" w:eastAsia="Times New Roman" w:hAnsi="Arial Narrow" w:cs="Times New Roman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dx.doi.org/10.1787/9789264248335-e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microsoft.com/office/2007/relationships/hdphoto" Target="media/hdphoto1.wdp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47DF9EC427944C9729107F975CFB77" ma:contentTypeVersion="0" ma:contentTypeDescription="Create a new document." ma:contentTypeScope="" ma:versionID="0f2e29e5206e79ab158438fc80f1b23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A59AE-9C76-460A-B929-FC9F2020B37C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9B55426-5C41-4F29-8282-A8D1681AC9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DEA642-FBEC-45C0-B121-11CB29FFC6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7CA28A-3C4B-4D00-BFC6-69061D5D9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1E92B168.dotm</Template>
  <TotalTime>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OECD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MEHRABYAN Lusine</dc:creator>
  <cp:lastModifiedBy>HUH So Jong</cp:lastModifiedBy>
  <cp:revision>4</cp:revision>
  <cp:lastPrinted>2016-08-30T13:53:00Z</cp:lastPrinted>
  <dcterms:created xsi:type="dcterms:W3CDTF">2016-08-18T16:34:00Z</dcterms:created>
  <dcterms:modified xsi:type="dcterms:W3CDTF">2016-08-30T13:53:00Z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0x0101004847DF9EC427944C9729107F975CFB77</vt:lpwstr>
  </property>
</Properties>
</file>